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78" w:rsidRDefault="00315F78"/>
    <w:p w:rsidR="00527D2D" w:rsidRPr="004C01E6" w:rsidRDefault="00487EFE" w:rsidP="00487EFE">
      <w:pPr>
        <w:jc w:val="center"/>
        <w:rPr>
          <w:rFonts w:ascii="Palatino Linotype" w:hAnsi="Palatino Linotype"/>
          <w:b/>
          <w:i/>
          <w:sz w:val="20"/>
          <w:szCs w:val="20"/>
          <w:u w:val="single"/>
        </w:rPr>
      </w:pPr>
      <w:r w:rsidRPr="004C01E6">
        <w:rPr>
          <w:rFonts w:ascii="Palatino Linotype" w:hAnsi="Palatino Linotype"/>
          <w:b/>
          <w:i/>
          <w:sz w:val="20"/>
          <w:szCs w:val="20"/>
          <w:u w:val="single"/>
        </w:rPr>
        <w:t>RESOLUCIÓN DE MESA DIRECTIVA N°</w:t>
      </w:r>
      <w:r w:rsidR="001447CD" w:rsidRPr="004C01E6">
        <w:rPr>
          <w:rFonts w:ascii="Palatino Linotype" w:hAnsi="Palatino Linotype"/>
          <w:b/>
          <w:i/>
          <w:sz w:val="20"/>
          <w:szCs w:val="20"/>
          <w:u w:val="single"/>
        </w:rPr>
        <w:t xml:space="preserve"> 2979</w:t>
      </w:r>
    </w:p>
    <w:p w:rsidR="00527D2D" w:rsidRPr="00A76E9C" w:rsidRDefault="00527D2D">
      <w:pPr>
        <w:rPr>
          <w:rFonts w:ascii="Palatino Linotype" w:hAnsi="Palatino Linotype"/>
          <w:i/>
          <w:sz w:val="20"/>
          <w:szCs w:val="20"/>
        </w:rPr>
      </w:pPr>
    </w:p>
    <w:p w:rsidR="00527D2D" w:rsidRPr="00A76E9C" w:rsidRDefault="00EB7524" w:rsidP="00EB7524">
      <w:pPr>
        <w:rPr>
          <w:rFonts w:ascii="Palatino Linotype" w:hAnsi="Palatino Linotype"/>
          <w:b/>
          <w:i/>
          <w:sz w:val="20"/>
          <w:szCs w:val="20"/>
        </w:rPr>
      </w:pPr>
      <w:r>
        <w:rPr>
          <w:rFonts w:ascii="Palatino Linotype" w:hAnsi="Palatino Linotype"/>
          <w:b/>
          <w:i/>
          <w:sz w:val="20"/>
          <w:szCs w:val="20"/>
        </w:rPr>
        <w:t>VISTO</w:t>
      </w:r>
    </w:p>
    <w:p w:rsidR="00F17E4E" w:rsidRPr="00F17E4E" w:rsidRDefault="006D38AA" w:rsidP="00EB7524">
      <w:pPr>
        <w:pStyle w:val="Prrafodelista"/>
        <w:rPr>
          <w:rFonts w:ascii="Palatino Linotype" w:hAnsi="Palatino Linotype"/>
          <w:i/>
          <w:sz w:val="20"/>
          <w:szCs w:val="20"/>
        </w:rPr>
      </w:pPr>
      <w:r w:rsidRPr="00F17E4E">
        <w:rPr>
          <w:rFonts w:ascii="Palatino Linotype" w:hAnsi="Palatino Linotype"/>
          <w:i/>
          <w:sz w:val="20"/>
          <w:szCs w:val="20"/>
        </w:rPr>
        <w:t>La Resolución N° 2883 de la Mesa Directiva de este Consejo Profesional</w:t>
      </w:r>
      <w:r w:rsidR="00EB7524">
        <w:rPr>
          <w:rFonts w:ascii="Palatino Linotype" w:hAnsi="Palatino Linotype"/>
          <w:i/>
          <w:sz w:val="20"/>
          <w:szCs w:val="20"/>
        </w:rPr>
        <w:t>;</w:t>
      </w:r>
    </w:p>
    <w:p w:rsidR="001E34A6" w:rsidRPr="00F201E5" w:rsidRDefault="00F17E4E" w:rsidP="00F201E5">
      <w:pPr>
        <w:pStyle w:val="Prrafodelista"/>
        <w:rPr>
          <w:rFonts w:ascii="Palatino Linotype" w:hAnsi="Palatino Linotype"/>
          <w:i/>
          <w:sz w:val="20"/>
          <w:szCs w:val="20"/>
        </w:rPr>
      </w:pPr>
      <w:r>
        <w:rPr>
          <w:rFonts w:ascii="Palatino Linotype" w:hAnsi="Palatino Linotype"/>
          <w:i/>
          <w:sz w:val="20"/>
          <w:szCs w:val="20"/>
        </w:rPr>
        <w:t>L</w:t>
      </w:r>
      <w:r w:rsidR="00527D2D" w:rsidRPr="00F17E4E">
        <w:rPr>
          <w:rFonts w:ascii="Palatino Linotype" w:hAnsi="Palatino Linotype"/>
          <w:i/>
          <w:sz w:val="20"/>
          <w:szCs w:val="20"/>
        </w:rPr>
        <w:t>a Resolución</w:t>
      </w:r>
      <w:r w:rsidR="00A76E9C" w:rsidRPr="00F17E4E">
        <w:rPr>
          <w:rFonts w:ascii="Palatino Linotype" w:hAnsi="Palatino Linotype"/>
          <w:i/>
          <w:sz w:val="20"/>
          <w:szCs w:val="20"/>
        </w:rPr>
        <w:t xml:space="preserve"> N° </w:t>
      </w:r>
      <w:r w:rsidR="009630F1">
        <w:rPr>
          <w:rFonts w:ascii="Palatino Linotype" w:hAnsi="Palatino Linotype"/>
          <w:i/>
          <w:sz w:val="20"/>
          <w:szCs w:val="20"/>
        </w:rPr>
        <w:t xml:space="preserve">553/19 </w:t>
      </w:r>
      <w:r w:rsidR="00A76E9C" w:rsidRPr="00F17E4E">
        <w:rPr>
          <w:rFonts w:ascii="Palatino Linotype" w:hAnsi="Palatino Linotype"/>
          <w:i/>
          <w:sz w:val="20"/>
          <w:szCs w:val="20"/>
        </w:rPr>
        <w:t xml:space="preserve">de la </w:t>
      </w:r>
      <w:r w:rsidR="009630F1">
        <w:rPr>
          <w:rFonts w:ascii="Palatino Linotype" w:hAnsi="Palatino Linotype"/>
          <w:i/>
          <w:sz w:val="20"/>
          <w:szCs w:val="20"/>
        </w:rPr>
        <w:t xml:space="preserve">Junta de Gobierno </w:t>
      </w:r>
      <w:r w:rsidR="00A76E9C" w:rsidRPr="00F17E4E">
        <w:rPr>
          <w:rFonts w:ascii="Palatino Linotype" w:hAnsi="Palatino Linotype"/>
          <w:i/>
          <w:sz w:val="20"/>
          <w:szCs w:val="20"/>
        </w:rPr>
        <w:t>de la Federación Argentina de Consejos Profesionales de Ciencias Económicas</w:t>
      </w:r>
      <w:r w:rsidR="00EB7524">
        <w:rPr>
          <w:rFonts w:ascii="Palatino Linotype" w:hAnsi="Palatino Linotype"/>
          <w:i/>
          <w:sz w:val="20"/>
          <w:szCs w:val="20"/>
        </w:rPr>
        <w:t>; y</w:t>
      </w:r>
    </w:p>
    <w:p w:rsidR="001E34A6" w:rsidRDefault="00EB7524" w:rsidP="00EB7524">
      <w:pPr>
        <w:spacing w:after="0" w:line="240" w:lineRule="auto"/>
        <w:rPr>
          <w:rFonts w:ascii="Palatino Linotype" w:hAnsi="Palatino Linotype"/>
          <w:b/>
          <w:i/>
          <w:sz w:val="20"/>
          <w:szCs w:val="20"/>
        </w:rPr>
      </w:pPr>
      <w:r>
        <w:rPr>
          <w:rFonts w:ascii="Palatino Linotype" w:hAnsi="Palatino Linotype"/>
          <w:b/>
          <w:i/>
          <w:sz w:val="20"/>
          <w:szCs w:val="20"/>
        </w:rPr>
        <w:t>CONSIDERANDO</w:t>
      </w:r>
    </w:p>
    <w:p w:rsidR="001E34A6" w:rsidRDefault="001E34A6" w:rsidP="001E34A6">
      <w:pPr>
        <w:spacing w:after="0" w:line="240" w:lineRule="auto"/>
        <w:jc w:val="center"/>
        <w:rPr>
          <w:rFonts w:ascii="Palatino Linotype" w:hAnsi="Palatino Linotype"/>
          <w:b/>
          <w:i/>
          <w:sz w:val="20"/>
          <w:szCs w:val="20"/>
        </w:rPr>
      </w:pPr>
    </w:p>
    <w:p w:rsidR="00A76E9C"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c</w:t>
      </w:r>
      <w:r w:rsidR="001E34A6">
        <w:rPr>
          <w:rFonts w:ascii="Palatino Linotype" w:hAnsi="Palatino Linotype"/>
          <w:i/>
          <w:sz w:val="20"/>
          <w:szCs w:val="20"/>
        </w:rPr>
        <w:t>on</w:t>
      </w:r>
      <w:r w:rsidR="00A76E9C" w:rsidRPr="00A76E9C">
        <w:rPr>
          <w:rFonts w:ascii="Palatino Linotype" w:hAnsi="Palatino Linotype"/>
          <w:i/>
          <w:sz w:val="20"/>
          <w:szCs w:val="20"/>
        </w:rPr>
        <w:t xml:space="preserve"> fecha</w:t>
      </w:r>
      <w:r w:rsidR="00A76E9C">
        <w:rPr>
          <w:rFonts w:ascii="Palatino Linotype" w:hAnsi="Palatino Linotype"/>
          <w:i/>
          <w:sz w:val="20"/>
          <w:szCs w:val="20"/>
        </w:rPr>
        <w:t xml:space="preserve"> 18 de enero del corriente año se aprobó como norma contable en esta jurisdicción, por Resolución MD N° 2883 de este Consejo Profesional, la Resolución JG FACPCE N° 539/18, con ciertas modificaciones, estableciendo </w:t>
      </w:r>
      <w:r w:rsidR="001610F2">
        <w:rPr>
          <w:rFonts w:ascii="Palatino Linotype" w:hAnsi="Palatino Linotype"/>
          <w:i/>
          <w:sz w:val="20"/>
          <w:szCs w:val="20"/>
        </w:rPr>
        <w:t>la aplicación del ajuste por inflación con carácter</w:t>
      </w:r>
      <w:r w:rsidR="00A76E9C" w:rsidRPr="001610F2">
        <w:rPr>
          <w:rFonts w:ascii="Palatino Linotype" w:hAnsi="Palatino Linotype"/>
          <w:i/>
          <w:sz w:val="20"/>
          <w:szCs w:val="20"/>
        </w:rPr>
        <w:t xml:space="preserve"> obligatori</w:t>
      </w:r>
      <w:r w:rsidR="001610F2">
        <w:rPr>
          <w:rFonts w:ascii="Palatino Linotype" w:hAnsi="Palatino Linotype"/>
          <w:i/>
          <w:sz w:val="20"/>
          <w:szCs w:val="20"/>
        </w:rPr>
        <w:t>o</w:t>
      </w:r>
      <w:r w:rsidR="00A76E9C" w:rsidRPr="001610F2">
        <w:rPr>
          <w:rFonts w:ascii="Palatino Linotype" w:hAnsi="Palatino Linotype"/>
          <w:i/>
          <w:sz w:val="20"/>
          <w:szCs w:val="20"/>
        </w:rPr>
        <w:t xml:space="preserve"> para los estados contables correspondientes a ejercicios o períodos intermedios cerrados a partir del 31 de diciembre de 2018, inclusive.</w:t>
      </w:r>
    </w:p>
    <w:p w:rsidR="001610F2"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t</w:t>
      </w:r>
      <w:r w:rsidR="00C00CE6" w:rsidRPr="00C00CE6">
        <w:rPr>
          <w:rFonts w:ascii="Palatino Linotype" w:hAnsi="Palatino Linotype"/>
          <w:i/>
          <w:sz w:val="20"/>
          <w:szCs w:val="20"/>
        </w:rPr>
        <w:t>eniendo</w:t>
      </w:r>
      <w:r w:rsidR="002327EC">
        <w:rPr>
          <w:rFonts w:ascii="Palatino Linotype" w:hAnsi="Palatino Linotype"/>
          <w:i/>
          <w:sz w:val="20"/>
          <w:szCs w:val="20"/>
        </w:rPr>
        <w:t xml:space="preserve"> en</w:t>
      </w:r>
      <w:r w:rsidR="00C00CE6" w:rsidRPr="00C00CE6">
        <w:rPr>
          <w:rFonts w:ascii="Palatino Linotype" w:hAnsi="Palatino Linotype"/>
          <w:i/>
          <w:sz w:val="20"/>
          <w:szCs w:val="20"/>
        </w:rPr>
        <w:t xml:space="preserve"> </w:t>
      </w:r>
      <w:r w:rsidR="00C00CE6">
        <w:rPr>
          <w:rFonts w:ascii="Palatino Linotype" w:hAnsi="Palatino Linotype"/>
          <w:i/>
          <w:sz w:val="20"/>
          <w:szCs w:val="20"/>
        </w:rPr>
        <w:t>cuenta</w:t>
      </w:r>
      <w:r w:rsidR="00C00CE6" w:rsidRPr="00C00CE6">
        <w:rPr>
          <w:rFonts w:ascii="Palatino Linotype" w:hAnsi="Palatino Linotype"/>
          <w:i/>
          <w:sz w:val="20"/>
          <w:szCs w:val="20"/>
        </w:rPr>
        <w:t xml:space="preserve"> las dificultades que </w:t>
      </w:r>
      <w:r w:rsidR="00C00CE6">
        <w:rPr>
          <w:rFonts w:ascii="Palatino Linotype" w:hAnsi="Palatino Linotype"/>
          <w:i/>
          <w:sz w:val="20"/>
          <w:szCs w:val="20"/>
        </w:rPr>
        <w:t>podía</w:t>
      </w:r>
      <w:r w:rsidR="00C00CE6" w:rsidRPr="00C00CE6">
        <w:rPr>
          <w:rFonts w:ascii="Palatino Linotype" w:hAnsi="Palatino Linotype"/>
          <w:i/>
          <w:sz w:val="20"/>
          <w:szCs w:val="20"/>
        </w:rPr>
        <w:t xml:space="preserve"> conllevar la realización del ajuste por inflación por primera vez, luego de un largo período de tiempo en el que dicho procedimiento </w:t>
      </w:r>
      <w:r w:rsidR="00C00CE6">
        <w:rPr>
          <w:rFonts w:ascii="Palatino Linotype" w:hAnsi="Palatino Linotype"/>
          <w:i/>
          <w:sz w:val="20"/>
          <w:szCs w:val="20"/>
        </w:rPr>
        <w:t>estuvo</w:t>
      </w:r>
      <w:r w:rsidR="00C00CE6" w:rsidRPr="00C00CE6">
        <w:rPr>
          <w:rFonts w:ascii="Palatino Linotype" w:hAnsi="Palatino Linotype"/>
          <w:i/>
          <w:sz w:val="20"/>
          <w:szCs w:val="20"/>
        </w:rPr>
        <w:t xml:space="preserve"> discontinuado, la Resolución JG N° 539/18 de la FACPCE </w:t>
      </w:r>
      <w:r w:rsidR="00C00CE6">
        <w:rPr>
          <w:rFonts w:ascii="Palatino Linotype" w:hAnsi="Palatino Linotype"/>
          <w:i/>
          <w:sz w:val="20"/>
          <w:szCs w:val="20"/>
        </w:rPr>
        <w:t>estableció la posibilidad de</w:t>
      </w:r>
      <w:r w:rsidR="00C00CE6" w:rsidRPr="00C00CE6">
        <w:rPr>
          <w:rFonts w:ascii="Palatino Linotype" w:hAnsi="Palatino Linotype"/>
          <w:i/>
          <w:sz w:val="20"/>
          <w:szCs w:val="20"/>
        </w:rPr>
        <w:t xml:space="preserve"> utiliza</w:t>
      </w:r>
      <w:r w:rsidR="00C00CE6">
        <w:rPr>
          <w:rFonts w:ascii="Palatino Linotype" w:hAnsi="Palatino Linotype"/>
          <w:i/>
          <w:sz w:val="20"/>
          <w:szCs w:val="20"/>
        </w:rPr>
        <w:t>r</w:t>
      </w:r>
      <w:r w:rsidR="00C00CE6" w:rsidRPr="00C00CE6">
        <w:rPr>
          <w:rFonts w:ascii="Palatino Linotype" w:hAnsi="Palatino Linotype"/>
          <w:i/>
          <w:sz w:val="20"/>
          <w:szCs w:val="20"/>
        </w:rPr>
        <w:t xml:space="preserve"> un conjunto de simplificaciones en la aplicación de la </w:t>
      </w:r>
      <w:proofErr w:type="spellStart"/>
      <w:r w:rsidR="00C00CE6" w:rsidRPr="00C00CE6">
        <w:rPr>
          <w:rFonts w:ascii="Palatino Linotype" w:hAnsi="Palatino Linotype"/>
          <w:i/>
          <w:sz w:val="20"/>
          <w:szCs w:val="20"/>
        </w:rPr>
        <w:t>reexpresión</w:t>
      </w:r>
      <w:proofErr w:type="spellEnd"/>
      <w:r w:rsidR="00C00CE6" w:rsidRPr="00C00CE6">
        <w:rPr>
          <w:rFonts w:ascii="Palatino Linotype" w:hAnsi="Palatino Linotype"/>
          <w:i/>
          <w:sz w:val="20"/>
          <w:szCs w:val="20"/>
        </w:rPr>
        <w:t xml:space="preserve"> de los estados contables.</w:t>
      </w:r>
    </w:p>
    <w:p w:rsidR="00C00CE6"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e</w:t>
      </w:r>
      <w:r w:rsidR="00C00CE6">
        <w:rPr>
          <w:rFonts w:ascii="Palatino Linotype" w:hAnsi="Palatino Linotype"/>
          <w:i/>
          <w:sz w:val="20"/>
          <w:szCs w:val="20"/>
        </w:rPr>
        <w:t>n vista de tal problemática este Consejo Profesional aprobó las simplificaciones contenidas en la Resolución de la FACPCE y amp</w:t>
      </w:r>
      <w:r w:rsidR="007038D7">
        <w:rPr>
          <w:rFonts w:ascii="Palatino Linotype" w:hAnsi="Palatino Linotype"/>
          <w:i/>
          <w:sz w:val="20"/>
          <w:szCs w:val="20"/>
        </w:rPr>
        <w:t>li</w:t>
      </w:r>
      <w:r w:rsidR="005329B8">
        <w:rPr>
          <w:rFonts w:ascii="Palatino Linotype" w:hAnsi="Palatino Linotype"/>
          <w:i/>
          <w:sz w:val="20"/>
          <w:szCs w:val="20"/>
        </w:rPr>
        <w:t>ó</w:t>
      </w:r>
      <w:r w:rsidR="007038D7">
        <w:rPr>
          <w:rFonts w:ascii="Palatino Linotype" w:hAnsi="Palatino Linotype"/>
          <w:i/>
          <w:sz w:val="20"/>
          <w:szCs w:val="20"/>
        </w:rPr>
        <w:t xml:space="preserve"> dicho</w:t>
      </w:r>
      <w:r w:rsidR="0098090F">
        <w:rPr>
          <w:rFonts w:ascii="Palatino Linotype" w:hAnsi="Palatino Linotype"/>
          <w:i/>
          <w:sz w:val="20"/>
          <w:szCs w:val="20"/>
        </w:rPr>
        <w:t xml:space="preserve"> </w:t>
      </w:r>
      <w:r w:rsidR="007038D7">
        <w:rPr>
          <w:rFonts w:ascii="Palatino Linotype" w:hAnsi="Palatino Linotype"/>
          <w:i/>
          <w:sz w:val="20"/>
          <w:szCs w:val="20"/>
        </w:rPr>
        <w:t xml:space="preserve">conjunto de dispensas, extendiendo a los entes medianos la posibilidad de </w:t>
      </w:r>
      <w:r w:rsidR="007038D7" w:rsidRPr="007038D7">
        <w:rPr>
          <w:rFonts w:ascii="Palatino Linotype" w:hAnsi="Palatino Linotype"/>
          <w:i/>
          <w:sz w:val="20"/>
          <w:szCs w:val="20"/>
        </w:rPr>
        <w:t>preparar el estado de flujo de efectivo por el método directo</w:t>
      </w:r>
      <w:r w:rsidR="007038D7">
        <w:rPr>
          <w:rFonts w:ascii="Palatino Linotype" w:hAnsi="Palatino Linotype"/>
          <w:i/>
          <w:sz w:val="20"/>
          <w:szCs w:val="20"/>
        </w:rPr>
        <w:t xml:space="preserve"> en forma sintética y admitiendo para los entes pequeños y también para los medianos el ajuste global del estado de resultados.</w:t>
      </w:r>
    </w:p>
    <w:p w:rsidR="0098090F"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w:t>
      </w:r>
      <w:r w:rsidR="002C053A">
        <w:rPr>
          <w:rFonts w:ascii="Palatino Linotype" w:hAnsi="Palatino Linotype"/>
          <w:i/>
          <w:sz w:val="20"/>
          <w:szCs w:val="20"/>
        </w:rPr>
        <w:t xml:space="preserve"> la FACPCE </w:t>
      </w:r>
      <w:r w:rsidR="00EE4491">
        <w:rPr>
          <w:rFonts w:ascii="Palatino Linotype" w:hAnsi="Palatino Linotype"/>
          <w:i/>
          <w:sz w:val="20"/>
          <w:szCs w:val="20"/>
        </w:rPr>
        <w:t>h</w:t>
      </w:r>
      <w:r w:rsidR="002C053A">
        <w:rPr>
          <w:rFonts w:ascii="Palatino Linotype" w:hAnsi="Palatino Linotype"/>
          <w:i/>
          <w:sz w:val="20"/>
          <w:szCs w:val="20"/>
        </w:rPr>
        <w:t>a efectuado una evaluación</w:t>
      </w:r>
      <w:r w:rsidR="00EE4491">
        <w:rPr>
          <w:rFonts w:ascii="Palatino Linotype" w:hAnsi="Palatino Linotype"/>
          <w:i/>
          <w:sz w:val="20"/>
          <w:szCs w:val="20"/>
        </w:rPr>
        <w:t xml:space="preserve"> de</w:t>
      </w:r>
      <w:r w:rsidR="002C053A">
        <w:rPr>
          <w:rFonts w:ascii="Palatino Linotype" w:hAnsi="Palatino Linotype"/>
          <w:i/>
          <w:sz w:val="20"/>
          <w:szCs w:val="20"/>
        </w:rPr>
        <w:t xml:space="preserve"> la aplicación de la </w:t>
      </w:r>
      <w:proofErr w:type="spellStart"/>
      <w:r w:rsidR="002C053A">
        <w:rPr>
          <w:rFonts w:ascii="Palatino Linotype" w:hAnsi="Palatino Linotype"/>
          <w:i/>
          <w:sz w:val="20"/>
          <w:szCs w:val="20"/>
        </w:rPr>
        <w:t>reexpresión</w:t>
      </w:r>
      <w:proofErr w:type="spellEnd"/>
      <w:r w:rsidR="002C053A">
        <w:rPr>
          <w:rFonts w:ascii="Palatino Linotype" w:hAnsi="Palatino Linotype"/>
          <w:i/>
          <w:sz w:val="20"/>
          <w:szCs w:val="20"/>
        </w:rPr>
        <w:t xml:space="preserve"> de los estados contables para reconocer la pérdida del poder adquisitivo de la moneda y,</w:t>
      </w:r>
      <w:r>
        <w:rPr>
          <w:rFonts w:ascii="Palatino Linotype" w:hAnsi="Palatino Linotype"/>
          <w:i/>
          <w:sz w:val="20"/>
          <w:szCs w:val="20"/>
        </w:rPr>
        <w:t xml:space="preserve"> a</w:t>
      </w:r>
      <w:r w:rsidR="0098090F">
        <w:rPr>
          <w:rFonts w:ascii="Palatino Linotype" w:hAnsi="Palatino Linotype"/>
          <w:i/>
          <w:sz w:val="20"/>
          <w:szCs w:val="20"/>
        </w:rPr>
        <w:t xml:space="preserve"> la luz de la experiencia recogida </w:t>
      </w:r>
      <w:r w:rsidR="006D38AA">
        <w:rPr>
          <w:rFonts w:ascii="Palatino Linotype" w:hAnsi="Palatino Linotype"/>
          <w:i/>
          <w:sz w:val="20"/>
          <w:szCs w:val="20"/>
        </w:rPr>
        <w:t>a la fecha</w:t>
      </w:r>
      <w:r w:rsidR="002C053A">
        <w:rPr>
          <w:rFonts w:ascii="Palatino Linotype" w:hAnsi="Palatino Linotype"/>
          <w:i/>
          <w:sz w:val="20"/>
          <w:szCs w:val="20"/>
        </w:rPr>
        <w:t>,</w:t>
      </w:r>
      <w:r w:rsidR="006D38AA">
        <w:rPr>
          <w:rFonts w:ascii="Palatino Linotype" w:hAnsi="Palatino Linotype"/>
          <w:i/>
          <w:sz w:val="20"/>
          <w:szCs w:val="20"/>
        </w:rPr>
        <w:t xml:space="preserve"> emitió su Resolución </w:t>
      </w:r>
      <w:r w:rsidR="002C053A">
        <w:rPr>
          <w:rFonts w:ascii="Palatino Linotype" w:hAnsi="Palatino Linotype"/>
          <w:i/>
          <w:sz w:val="20"/>
          <w:szCs w:val="20"/>
        </w:rPr>
        <w:t xml:space="preserve">de Junta de Gobierno </w:t>
      </w:r>
      <w:r w:rsidR="006D38AA">
        <w:rPr>
          <w:rFonts w:ascii="Palatino Linotype" w:hAnsi="Palatino Linotype"/>
          <w:i/>
          <w:sz w:val="20"/>
          <w:szCs w:val="20"/>
        </w:rPr>
        <w:t xml:space="preserve">N° </w:t>
      </w:r>
      <w:r w:rsidR="002C053A">
        <w:rPr>
          <w:rFonts w:ascii="Palatino Linotype" w:hAnsi="Palatino Linotype"/>
          <w:i/>
          <w:sz w:val="20"/>
          <w:szCs w:val="20"/>
        </w:rPr>
        <w:t>553/19</w:t>
      </w:r>
      <w:r w:rsidR="006D38AA">
        <w:rPr>
          <w:rFonts w:ascii="Palatino Linotype" w:hAnsi="Palatino Linotype"/>
          <w:i/>
          <w:sz w:val="20"/>
          <w:szCs w:val="20"/>
        </w:rPr>
        <w:t>, que modifica la Resolución JG FACPCE</w:t>
      </w:r>
      <w:r w:rsidR="0040494F">
        <w:rPr>
          <w:rFonts w:ascii="Palatino Linotype" w:hAnsi="Palatino Linotype"/>
          <w:i/>
          <w:sz w:val="20"/>
          <w:szCs w:val="20"/>
        </w:rPr>
        <w:t xml:space="preserve"> N° 539/18, incorporando nuevas simplificaciones y aclaraciones en relación con la aplicación de la metodología de ajuste dispuesta en la Resolución Técnica N° 6.</w:t>
      </w:r>
    </w:p>
    <w:p w:rsidR="0040494F"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e</w:t>
      </w:r>
      <w:r w:rsidR="0040494F">
        <w:rPr>
          <w:rFonts w:ascii="Palatino Linotype" w:hAnsi="Palatino Linotype"/>
          <w:i/>
          <w:sz w:val="20"/>
          <w:szCs w:val="20"/>
        </w:rPr>
        <w:t xml:space="preserve">ste Consejo Profesional comparte la visión de la FACPCE en cuanto a la conveniencia de incorporar en </w:t>
      </w:r>
      <w:r w:rsidR="002327EC">
        <w:rPr>
          <w:rFonts w:ascii="Palatino Linotype" w:hAnsi="Palatino Linotype"/>
          <w:i/>
          <w:sz w:val="20"/>
          <w:szCs w:val="20"/>
        </w:rPr>
        <w:t>su</w:t>
      </w:r>
      <w:r w:rsidR="0040494F">
        <w:rPr>
          <w:rFonts w:ascii="Palatino Linotype" w:hAnsi="Palatino Linotype"/>
          <w:i/>
          <w:sz w:val="20"/>
          <w:szCs w:val="20"/>
        </w:rPr>
        <w:t xml:space="preserve"> cuerpo de normas contables profesionales </w:t>
      </w:r>
      <w:r w:rsidR="003F6C1A">
        <w:rPr>
          <w:rFonts w:ascii="Palatino Linotype" w:hAnsi="Palatino Linotype"/>
          <w:i/>
          <w:sz w:val="20"/>
          <w:szCs w:val="20"/>
        </w:rPr>
        <w:t xml:space="preserve"> </w:t>
      </w:r>
      <w:r w:rsidR="0040494F">
        <w:rPr>
          <w:rFonts w:ascii="Palatino Linotype" w:hAnsi="Palatino Linotype"/>
          <w:i/>
          <w:sz w:val="20"/>
          <w:szCs w:val="20"/>
        </w:rPr>
        <w:t>las nuevas simplifica</w:t>
      </w:r>
      <w:r w:rsidR="003F6C1A">
        <w:rPr>
          <w:rFonts w:ascii="Palatino Linotype" w:hAnsi="Palatino Linotype"/>
          <w:i/>
          <w:sz w:val="20"/>
          <w:szCs w:val="20"/>
        </w:rPr>
        <w:t>ciones y aclaraciones contenidas en la Resolución</w:t>
      </w:r>
      <w:r w:rsidR="002C053A">
        <w:rPr>
          <w:rFonts w:ascii="Palatino Linotype" w:hAnsi="Palatino Linotype"/>
          <w:i/>
          <w:sz w:val="20"/>
          <w:szCs w:val="20"/>
        </w:rPr>
        <w:t xml:space="preserve"> JG</w:t>
      </w:r>
      <w:r w:rsidR="003F6C1A">
        <w:rPr>
          <w:rFonts w:ascii="Palatino Linotype" w:hAnsi="Palatino Linotype"/>
          <w:i/>
          <w:sz w:val="20"/>
          <w:szCs w:val="20"/>
        </w:rPr>
        <w:t xml:space="preserve"> FACPCE </w:t>
      </w:r>
      <w:r w:rsidR="004D239C">
        <w:rPr>
          <w:rFonts w:ascii="Palatino Linotype" w:hAnsi="Palatino Linotype"/>
          <w:i/>
          <w:sz w:val="20"/>
          <w:szCs w:val="20"/>
        </w:rPr>
        <w:t xml:space="preserve">N° </w:t>
      </w:r>
      <w:r w:rsidR="002C053A">
        <w:rPr>
          <w:rFonts w:ascii="Palatino Linotype" w:hAnsi="Palatino Linotype"/>
          <w:i/>
          <w:sz w:val="20"/>
          <w:szCs w:val="20"/>
        </w:rPr>
        <w:t>553/19</w:t>
      </w:r>
      <w:r w:rsidR="003F6C1A">
        <w:rPr>
          <w:rFonts w:ascii="Palatino Linotype" w:hAnsi="Palatino Linotype"/>
          <w:i/>
          <w:sz w:val="20"/>
          <w:szCs w:val="20"/>
        </w:rPr>
        <w:t>, excepto aquellas</w:t>
      </w:r>
      <w:r w:rsidR="00363FC9">
        <w:rPr>
          <w:rFonts w:ascii="Palatino Linotype" w:hAnsi="Palatino Linotype"/>
          <w:i/>
          <w:sz w:val="20"/>
          <w:szCs w:val="20"/>
        </w:rPr>
        <w:t xml:space="preserve"> dispensas</w:t>
      </w:r>
      <w:r w:rsidR="003F6C1A">
        <w:rPr>
          <w:rFonts w:ascii="Palatino Linotype" w:hAnsi="Palatino Linotype"/>
          <w:i/>
          <w:sz w:val="20"/>
          <w:szCs w:val="20"/>
        </w:rPr>
        <w:t xml:space="preserve"> </w:t>
      </w:r>
      <w:r w:rsidR="00150B80">
        <w:rPr>
          <w:rFonts w:ascii="Palatino Linotype" w:hAnsi="Palatino Linotype"/>
          <w:i/>
          <w:sz w:val="20"/>
          <w:szCs w:val="20"/>
        </w:rPr>
        <w:t xml:space="preserve">referidas </w:t>
      </w:r>
      <w:r w:rsidR="003F6C1A">
        <w:rPr>
          <w:rFonts w:ascii="Palatino Linotype" w:hAnsi="Palatino Linotype"/>
          <w:i/>
          <w:sz w:val="20"/>
          <w:szCs w:val="20"/>
        </w:rPr>
        <w:t>al período de transición transcurrido entre el 1</w:t>
      </w:r>
      <w:r w:rsidR="00150B80">
        <w:rPr>
          <w:rFonts w:ascii="Palatino Linotype" w:hAnsi="Palatino Linotype"/>
          <w:i/>
          <w:sz w:val="20"/>
          <w:szCs w:val="20"/>
        </w:rPr>
        <w:t xml:space="preserve">° de julio y el 30 de diciembre de 2018 </w:t>
      </w:r>
      <w:r w:rsidR="00363FC9">
        <w:rPr>
          <w:rFonts w:ascii="Palatino Linotype" w:hAnsi="Palatino Linotype"/>
          <w:i/>
          <w:sz w:val="20"/>
          <w:szCs w:val="20"/>
        </w:rPr>
        <w:t xml:space="preserve"> que no son de aplicación dada la fecha de vigencia del ajuste por inflación de acuerdo a la normativa contable profesional  vigente en esta jurisdicción, la cual no prevé dicho período.</w:t>
      </w:r>
    </w:p>
    <w:p w:rsidR="00044D3D" w:rsidRDefault="009630F1"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lastRenderedPageBreak/>
        <w:t xml:space="preserve"> Que acerca de la primera dispensa adicional establecida por este Consejo, </w:t>
      </w:r>
      <w:r w:rsidR="004D239C">
        <w:rPr>
          <w:rFonts w:ascii="Palatino Linotype" w:hAnsi="Palatino Linotype"/>
          <w:i/>
          <w:sz w:val="20"/>
          <w:szCs w:val="20"/>
        </w:rPr>
        <w:t xml:space="preserve">la extensión a los entes medianos de la posibilidad de </w:t>
      </w:r>
      <w:r w:rsidR="004D239C" w:rsidRPr="007038D7">
        <w:rPr>
          <w:rFonts w:ascii="Palatino Linotype" w:hAnsi="Palatino Linotype"/>
          <w:i/>
          <w:sz w:val="20"/>
          <w:szCs w:val="20"/>
        </w:rPr>
        <w:t>preparar el estado de flujo de efectivo por el método directo</w:t>
      </w:r>
      <w:r w:rsidR="004D239C">
        <w:rPr>
          <w:rFonts w:ascii="Palatino Linotype" w:hAnsi="Palatino Linotype"/>
          <w:i/>
          <w:sz w:val="20"/>
          <w:szCs w:val="20"/>
        </w:rPr>
        <w:t xml:space="preserve"> en forma sintética</w:t>
      </w:r>
      <w:r w:rsidR="002327EC">
        <w:rPr>
          <w:rFonts w:ascii="Palatino Linotype" w:hAnsi="Palatino Linotype"/>
          <w:i/>
          <w:sz w:val="20"/>
          <w:szCs w:val="20"/>
        </w:rPr>
        <w:t>, la misma</w:t>
      </w:r>
      <w:r w:rsidR="004D239C">
        <w:rPr>
          <w:rFonts w:ascii="Palatino Linotype" w:hAnsi="Palatino Linotype"/>
          <w:i/>
          <w:sz w:val="20"/>
          <w:szCs w:val="20"/>
        </w:rPr>
        <w:t xml:space="preserve"> ha sido receptada e incluso amplificada en la nueva resolución de la Federación</w:t>
      </w:r>
      <w:r>
        <w:rPr>
          <w:rFonts w:ascii="Palatino Linotype" w:hAnsi="Palatino Linotype"/>
          <w:i/>
          <w:sz w:val="20"/>
          <w:szCs w:val="20"/>
        </w:rPr>
        <w:t>.</w:t>
      </w:r>
    </w:p>
    <w:p w:rsidR="009630F1" w:rsidRDefault="009630F1" w:rsidP="00DC76A9">
      <w:pPr>
        <w:spacing w:after="120" w:line="240" w:lineRule="auto"/>
        <w:ind w:firstLine="709"/>
        <w:jc w:val="both"/>
        <w:rPr>
          <w:rFonts w:ascii="Palatino Linotype" w:hAnsi="Palatino Linotype"/>
          <w:i/>
          <w:sz w:val="20"/>
          <w:szCs w:val="20"/>
        </w:rPr>
      </w:pPr>
      <w:r w:rsidRPr="009630F1">
        <w:rPr>
          <w:rFonts w:ascii="Palatino Linotype" w:hAnsi="Palatino Linotype"/>
          <w:i/>
          <w:sz w:val="20"/>
          <w:szCs w:val="20"/>
        </w:rPr>
        <w:t>Que en cuanto a la posibilidad de practicar el ajuste global de</w:t>
      </w:r>
      <w:r w:rsidR="00A141FD">
        <w:rPr>
          <w:rFonts w:ascii="Palatino Linotype" w:hAnsi="Palatino Linotype"/>
          <w:i/>
          <w:sz w:val="20"/>
          <w:szCs w:val="20"/>
        </w:rPr>
        <w:t xml:space="preserve"> los</w:t>
      </w:r>
      <w:r w:rsidRPr="009630F1">
        <w:rPr>
          <w:rFonts w:ascii="Palatino Linotype" w:hAnsi="Palatino Linotype"/>
          <w:i/>
          <w:sz w:val="20"/>
          <w:szCs w:val="20"/>
        </w:rPr>
        <w:t xml:space="preserve"> resultados, oportunamente</w:t>
      </w:r>
      <w:r>
        <w:rPr>
          <w:rFonts w:ascii="Palatino Linotype" w:hAnsi="Palatino Linotype"/>
          <w:i/>
          <w:sz w:val="20"/>
          <w:szCs w:val="20"/>
        </w:rPr>
        <w:t>, para la inclusión de la simplificación</w:t>
      </w:r>
      <w:r w:rsidR="00DC76A9">
        <w:rPr>
          <w:rFonts w:ascii="Palatino Linotype" w:hAnsi="Palatino Linotype"/>
          <w:i/>
          <w:sz w:val="20"/>
          <w:szCs w:val="20"/>
        </w:rPr>
        <w:t xml:space="preserve"> en la normativa vigente,</w:t>
      </w:r>
      <w:r>
        <w:rPr>
          <w:rFonts w:ascii="Palatino Linotype" w:hAnsi="Palatino Linotype"/>
          <w:i/>
          <w:sz w:val="20"/>
          <w:szCs w:val="20"/>
        </w:rPr>
        <w:t xml:space="preserve"> se consideró que en la</w:t>
      </w:r>
      <w:r w:rsidRPr="009630F1">
        <w:rPr>
          <w:rFonts w:ascii="Palatino Linotype" w:hAnsi="Palatino Linotype"/>
          <w:i/>
          <w:sz w:val="20"/>
          <w:szCs w:val="20"/>
        </w:rPr>
        <w:t xml:space="preserve"> aplicación inicial de la RT 6 se admitió que ciertos entes efectuaran la </w:t>
      </w:r>
      <w:proofErr w:type="spellStart"/>
      <w:r w:rsidRPr="009630F1">
        <w:rPr>
          <w:rFonts w:ascii="Palatino Linotype" w:hAnsi="Palatino Linotype"/>
          <w:i/>
          <w:sz w:val="20"/>
          <w:szCs w:val="20"/>
        </w:rPr>
        <w:t>reexpresión</w:t>
      </w:r>
      <w:proofErr w:type="spellEnd"/>
      <w:r w:rsidRPr="009630F1">
        <w:rPr>
          <w:rFonts w:ascii="Palatino Linotype" w:hAnsi="Palatino Linotype"/>
          <w:i/>
          <w:sz w:val="20"/>
          <w:szCs w:val="20"/>
        </w:rPr>
        <w:t xml:space="preserve"> del estado de resultados mediante la inclusión de una sola partida cuyo importe se determinaba por diferencia entre el resultado del período </w:t>
      </w:r>
      <w:proofErr w:type="spellStart"/>
      <w:r w:rsidRPr="009630F1">
        <w:rPr>
          <w:rFonts w:ascii="Palatino Linotype" w:hAnsi="Palatino Linotype"/>
          <w:i/>
          <w:sz w:val="20"/>
          <w:szCs w:val="20"/>
        </w:rPr>
        <w:t>reexpresado</w:t>
      </w:r>
      <w:proofErr w:type="spellEnd"/>
      <w:r w:rsidRPr="009630F1">
        <w:rPr>
          <w:rFonts w:ascii="Palatino Linotype" w:hAnsi="Palatino Linotype"/>
          <w:i/>
          <w:sz w:val="20"/>
          <w:szCs w:val="20"/>
        </w:rPr>
        <w:t xml:space="preserve"> en moneda de cierre y dicho resultado surgido del estado de resultados sin </w:t>
      </w:r>
      <w:proofErr w:type="spellStart"/>
      <w:r w:rsidRPr="009630F1">
        <w:rPr>
          <w:rFonts w:ascii="Palatino Linotype" w:hAnsi="Palatino Linotype"/>
          <w:i/>
          <w:sz w:val="20"/>
          <w:szCs w:val="20"/>
        </w:rPr>
        <w:t>reexpresar</w:t>
      </w:r>
      <w:proofErr w:type="spellEnd"/>
      <w:r w:rsidRPr="009630F1">
        <w:rPr>
          <w:rFonts w:ascii="Palatino Linotype" w:hAnsi="Palatino Linotype"/>
          <w:i/>
          <w:sz w:val="20"/>
          <w:szCs w:val="20"/>
        </w:rPr>
        <w:t>; denominándose la partida “Ajuste Global del resultado del período (o ejercicio)”</w:t>
      </w:r>
      <w:r w:rsidR="00DC76A9">
        <w:rPr>
          <w:rFonts w:ascii="Palatino Linotype" w:hAnsi="Palatino Linotype"/>
          <w:i/>
          <w:sz w:val="20"/>
          <w:szCs w:val="20"/>
        </w:rPr>
        <w:t>.</w:t>
      </w:r>
    </w:p>
    <w:p w:rsidR="00044D3D" w:rsidRDefault="00DC76A9"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en la aplicación inicial de la RT 6 a la que se hace referencia, la posibilidad de utilizar la metodología simplificada de ajuste del estado de resultados rigió durante un período de transición de dos años.</w:t>
      </w:r>
    </w:p>
    <w:p w:rsidR="00EB7524"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c</w:t>
      </w:r>
      <w:r w:rsidR="007646A3">
        <w:rPr>
          <w:rFonts w:ascii="Palatino Linotype" w:hAnsi="Palatino Linotype"/>
          <w:i/>
          <w:sz w:val="20"/>
          <w:szCs w:val="20"/>
        </w:rPr>
        <w:t>iertos Organismos de Control requieren para los entes que se encuentran</w:t>
      </w:r>
      <w:r w:rsidR="00923624">
        <w:rPr>
          <w:rFonts w:ascii="Palatino Linotype" w:hAnsi="Palatino Linotype"/>
          <w:i/>
          <w:sz w:val="20"/>
          <w:szCs w:val="20"/>
        </w:rPr>
        <w:t xml:space="preserve"> bajo su órbita</w:t>
      </w:r>
      <w:r w:rsidR="007646A3">
        <w:rPr>
          <w:rFonts w:ascii="Palatino Linotype" w:hAnsi="Palatino Linotype"/>
          <w:i/>
          <w:sz w:val="20"/>
          <w:szCs w:val="20"/>
        </w:rPr>
        <w:t xml:space="preserve"> la </w:t>
      </w:r>
      <w:proofErr w:type="spellStart"/>
      <w:r w:rsidR="002B59C3">
        <w:rPr>
          <w:rFonts w:ascii="Palatino Linotype" w:hAnsi="Palatino Linotype"/>
          <w:i/>
          <w:sz w:val="20"/>
          <w:szCs w:val="20"/>
        </w:rPr>
        <w:t>la</w:t>
      </w:r>
      <w:proofErr w:type="spellEnd"/>
      <w:r w:rsidR="002B59C3">
        <w:rPr>
          <w:rFonts w:ascii="Palatino Linotype" w:hAnsi="Palatino Linotype"/>
          <w:i/>
          <w:sz w:val="20"/>
          <w:szCs w:val="20"/>
        </w:rPr>
        <w:t xml:space="preserve"> realización de la </w:t>
      </w:r>
      <w:proofErr w:type="spellStart"/>
      <w:r w:rsidR="002B59C3">
        <w:rPr>
          <w:rFonts w:ascii="Palatino Linotype" w:hAnsi="Palatino Linotype"/>
          <w:i/>
          <w:sz w:val="20"/>
          <w:szCs w:val="20"/>
        </w:rPr>
        <w:t>reexpresión</w:t>
      </w:r>
      <w:proofErr w:type="spellEnd"/>
      <w:r w:rsidR="002B59C3">
        <w:rPr>
          <w:rFonts w:ascii="Palatino Linotype" w:hAnsi="Palatino Linotype"/>
          <w:i/>
          <w:sz w:val="20"/>
          <w:szCs w:val="20"/>
        </w:rPr>
        <w:t xml:space="preserve"> de las cifras de los estados contables con  el índice indicado en la normativa de la FACPCE, lo que implica una diferencia con las normas contables vigentes en esta jurisdicción.</w:t>
      </w:r>
    </w:p>
    <w:p w:rsidR="00297AA7" w:rsidRDefault="00163335"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l</w:t>
      </w:r>
      <w:r w:rsidR="00297AA7">
        <w:rPr>
          <w:rFonts w:ascii="Palatino Linotype" w:hAnsi="Palatino Linotype"/>
          <w:i/>
          <w:sz w:val="20"/>
          <w:szCs w:val="20"/>
        </w:rPr>
        <w:t xml:space="preserve">a normativa emitida por este Consejo Profesional en materia de índices a utilizar para aplicar </w:t>
      </w:r>
      <w:r w:rsidR="00F5553F">
        <w:rPr>
          <w:rFonts w:ascii="Palatino Linotype" w:hAnsi="Palatino Linotype"/>
          <w:i/>
          <w:sz w:val="20"/>
          <w:szCs w:val="20"/>
        </w:rPr>
        <w:t>la metodología del ajuste indicada en la Resolución Técnica N° 6 tien</w:t>
      </w:r>
      <w:r w:rsidR="00565844">
        <w:rPr>
          <w:rFonts w:ascii="Palatino Linotype" w:hAnsi="Palatino Linotype"/>
          <w:i/>
          <w:sz w:val="20"/>
          <w:szCs w:val="20"/>
        </w:rPr>
        <w:t>e su justificación técnica</w:t>
      </w:r>
      <w:r w:rsidR="0029603A">
        <w:rPr>
          <w:rFonts w:ascii="Palatino Linotype" w:hAnsi="Palatino Linotype"/>
          <w:i/>
          <w:sz w:val="20"/>
          <w:szCs w:val="20"/>
        </w:rPr>
        <w:t xml:space="preserve"> en la búsqueda de una </w:t>
      </w:r>
      <w:r w:rsidR="000E4BB1">
        <w:rPr>
          <w:rFonts w:ascii="Palatino Linotype" w:hAnsi="Palatino Linotype"/>
          <w:i/>
          <w:sz w:val="20"/>
          <w:szCs w:val="20"/>
        </w:rPr>
        <w:t>mayor</w:t>
      </w:r>
      <w:r w:rsidR="0029603A">
        <w:rPr>
          <w:rFonts w:ascii="Palatino Linotype" w:hAnsi="Palatino Linotype"/>
          <w:i/>
          <w:sz w:val="20"/>
          <w:szCs w:val="20"/>
        </w:rPr>
        <w:t xml:space="preserve"> consistencia</w:t>
      </w:r>
      <w:r w:rsidR="000E4BB1">
        <w:rPr>
          <w:rFonts w:ascii="Palatino Linotype" w:hAnsi="Palatino Linotype"/>
          <w:i/>
          <w:sz w:val="20"/>
          <w:szCs w:val="20"/>
        </w:rPr>
        <w:t xml:space="preserve"> entre la remedición  de activos dispuesta </w:t>
      </w:r>
      <w:r w:rsidR="00565844">
        <w:rPr>
          <w:rFonts w:ascii="Palatino Linotype" w:hAnsi="Palatino Linotype"/>
          <w:i/>
          <w:sz w:val="20"/>
          <w:szCs w:val="20"/>
        </w:rPr>
        <w:t xml:space="preserve"> </w:t>
      </w:r>
      <w:r w:rsidR="000E4BB1">
        <w:rPr>
          <w:rFonts w:ascii="Palatino Linotype" w:hAnsi="Palatino Linotype"/>
          <w:i/>
          <w:sz w:val="20"/>
          <w:szCs w:val="20"/>
        </w:rPr>
        <w:t>por la</w:t>
      </w:r>
      <w:r w:rsidR="00565844">
        <w:rPr>
          <w:rFonts w:ascii="Palatino Linotype" w:hAnsi="Palatino Linotype"/>
          <w:i/>
          <w:sz w:val="20"/>
          <w:szCs w:val="20"/>
        </w:rPr>
        <w:t xml:space="preserve"> Resolución Técnica N° 48</w:t>
      </w:r>
      <w:r w:rsidR="000E4BB1">
        <w:rPr>
          <w:rFonts w:ascii="Palatino Linotype" w:hAnsi="Palatino Linotype"/>
          <w:i/>
          <w:sz w:val="20"/>
          <w:szCs w:val="20"/>
        </w:rPr>
        <w:t>, de aplicación obligatoria</w:t>
      </w:r>
      <w:r w:rsidR="00565844">
        <w:rPr>
          <w:rFonts w:ascii="Palatino Linotype" w:hAnsi="Palatino Linotype"/>
          <w:i/>
          <w:sz w:val="20"/>
          <w:szCs w:val="20"/>
        </w:rPr>
        <w:t xml:space="preserve"> en</w:t>
      </w:r>
      <w:r w:rsidR="0029603A">
        <w:rPr>
          <w:rFonts w:ascii="Palatino Linotype" w:hAnsi="Palatino Linotype"/>
          <w:i/>
          <w:sz w:val="20"/>
          <w:szCs w:val="20"/>
        </w:rPr>
        <w:t xml:space="preserve"> la</w:t>
      </w:r>
      <w:r w:rsidR="00565844">
        <w:rPr>
          <w:rFonts w:ascii="Palatino Linotype" w:hAnsi="Palatino Linotype"/>
          <w:i/>
          <w:sz w:val="20"/>
          <w:szCs w:val="20"/>
        </w:rPr>
        <w:t xml:space="preserve"> jurisdicción, </w:t>
      </w:r>
      <w:r w:rsidR="000E4BB1">
        <w:rPr>
          <w:rFonts w:ascii="Palatino Linotype" w:hAnsi="Palatino Linotype"/>
          <w:i/>
          <w:sz w:val="20"/>
          <w:szCs w:val="20"/>
        </w:rPr>
        <w:t>remedición</w:t>
      </w:r>
      <w:r w:rsidR="0029603A">
        <w:rPr>
          <w:rFonts w:ascii="Palatino Linotype" w:hAnsi="Palatino Linotype"/>
          <w:i/>
          <w:sz w:val="20"/>
          <w:szCs w:val="20"/>
        </w:rPr>
        <w:t xml:space="preserve"> que al actualizar determinadas mediciones contables al inicio del ejercicio en el que se </w:t>
      </w:r>
      <w:proofErr w:type="spellStart"/>
      <w:r w:rsidR="0029603A">
        <w:rPr>
          <w:rFonts w:ascii="Palatino Linotype" w:hAnsi="Palatino Linotype"/>
          <w:i/>
          <w:sz w:val="20"/>
          <w:szCs w:val="20"/>
        </w:rPr>
        <w:t>reexpresan</w:t>
      </w:r>
      <w:proofErr w:type="spellEnd"/>
      <w:r w:rsidR="0029603A">
        <w:rPr>
          <w:rFonts w:ascii="Palatino Linotype" w:hAnsi="Palatino Linotype"/>
          <w:i/>
          <w:sz w:val="20"/>
          <w:szCs w:val="20"/>
        </w:rPr>
        <w:t xml:space="preserve"> los estados contables se integra </w:t>
      </w:r>
      <w:r w:rsidR="00265ADF">
        <w:rPr>
          <w:rFonts w:ascii="Palatino Linotype" w:hAnsi="Palatino Linotype"/>
          <w:i/>
          <w:sz w:val="20"/>
          <w:szCs w:val="20"/>
        </w:rPr>
        <w:t>a</w:t>
      </w:r>
      <w:r w:rsidR="0029603A">
        <w:rPr>
          <w:rFonts w:ascii="Palatino Linotype" w:hAnsi="Palatino Linotype"/>
          <w:i/>
          <w:sz w:val="20"/>
          <w:szCs w:val="20"/>
        </w:rPr>
        <w:t xml:space="preserve">l proceso de ajuste, </w:t>
      </w:r>
      <w:r w:rsidR="000E4BB1">
        <w:rPr>
          <w:rFonts w:ascii="Palatino Linotype" w:hAnsi="Palatino Linotype"/>
          <w:i/>
          <w:sz w:val="20"/>
          <w:szCs w:val="20"/>
        </w:rPr>
        <w:t>y el propio ajuste por inflación a ese momento que resulta de la primera parte del proceso secuencial</w:t>
      </w:r>
      <w:r w:rsidR="00D2607B">
        <w:rPr>
          <w:rFonts w:ascii="Palatino Linotype" w:hAnsi="Palatino Linotype"/>
          <w:i/>
          <w:sz w:val="20"/>
          <w:szCs w:val="20"/>
        </w:rPr>
        <w:t>.</w:t>
      </w:r>
    </w:p>
    <w:p w:rsidR="002E37A1" w:rsidRDefault="00EB7524"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Que e</w:t>
      </w:r>
      <w:r w:rsidR="002E37A1">
        <w:rPr>
          <w:rFonts w:ascii="Palatino Linotype" w:hAnsi="Palatino Linotype"/>
          <w:i/>
          <w:sz w:val="20"/>
          <w:szCs w:val="20"/>
        </w:rPr>
        <w:t xml:space="preserve">n el marco del ajuste por inflación la recepción en la normativa contable profesional de criterios particulares exigidos por Organismos de Control tiene como antecedente la propia Resolución MD N° 2883, por la que se admite la aplicación anticipada de la </w:t>
      </w:r>
      <w:proofErr w:type="spellStart"/>
      <w:r w:rsidR="002E37A1">
        <w:rPr>
          <w:rFonts w:ascii="Palatino Linotype" w:hAnsi="Palatino Linotype"/>
          <w:i/>
          <w:sz w:val="20"/>
          <w:szCs w:val="20"/>
        </w:rPr>
        <w:t>reexpresión</w:t>
      </w:r>
      <w:proofErr w:type="spellEnd"/>
      <w:r w:rsidR="002E37A1">
        <w:rPr>
          <w:rFonts w:ascii="Palatino Linotype" w:hAnsi="Palatino Linotype"/>
          <w:i/>
          <w:sz w:val="20"/>
          <w:szCs w:val="20"/>
        </w:rPr>
        <w:t xml:space="preserve"> si ésta fuere así requerida por un Organismo de Control.</w:t>
      </w:r>
    </w:p>
    <w:p w:rsidR="00092790" w:rsidRPr="00EB7524" w:rsidRDefault="00EB7524" w:rsidP="00DC76A9">
      <w:pPr>
        <w:spacing w:after="120" w:line="240" w:lineRule="auto"/>
        <w:ind w:firstLine="709"/>
        <w:jc w:val="both"/>
        <w:rPr>
          <w:rFonts w:cstheme="minorHAnsi"/>
          <w:i/>
          <w:sz w:val="18"/>
          <w:szCs w:val="18"/>
        </w:rPr>
      </w:pPr>
      <w:r>
        <w:rPr>
          <w:rFonts w:ascii="Palatino Linotype" w:hAnsi="Palatino Linotype"/>
          <w:i/>
          <w:sz w:val="20"/>
          <w:szCs w:val="20"/>
        </w:rPr>
        <w:t>Que t</w:t>
      </w:r>
      <w:r w:rsidR="007B1F4D">
        <w:rPr>
          <w:rFonts w:ascii="Palatino Linotype" w:hAnsi="Palatino Linotype"/>
          <w:i/>
          <w:sz w:val="20"/>
          <w:szCs w:val="20"/>
        </w:rPr>
        <w:t>eniendo</w:t>
      </w:r>
      <w:r w:rsidR="00C219E7">
        <w:rPr>
          <w:rFonts w:ascii="Palatino Linotype" w:hAnsi="Palatino Linotype"/>
          <w:i/>
          <w:sz w:val="20"/>
          <w:szCs w:val="20"/>
        </w:rPr>
        <w:t xml:space="preserve"> </w:t>
      </w:r>
      <w:r w:rsidR="00265ADF">
        <w:rPr>
          <w:rFonts w:ascii="Palatino Linotype" w:hAnsi="Palatino Linotype"/>
          <w:i/>
          <w:sz w:val="20"/>
          <w:szCs w:val="20"/>
        </w:rPr>
        <w:t xml:space="preserve">en cuenta </w:t>
      </w:r>
      <w:r w:rsidR="00C219E7">
        <w:rPr>
          <w:rFonts w:ascii="Palatino Linotype" w:hAnsi="Palatino Linotype"/>
          <w:i/>
          <w:sz w:val="20"/>
          <w:szCs w:val="20"/>
        </w:rPr>
        <w:t xml:space="preserve">la existencia de este antecedente, así como el objetivo invocado de simplificación normativa resultante de la experiencia recogida a la fecha, para el caso de estados contables de entes que se encuentren bajo  el control </w:t>
      </w:r>
      <w:r w:rsidR="00265ADF">
        <w:rPr>
          <w:rFonts w:ascii="Palatino Linotype" w:hAnsi="Palatino Linotype"/>
          <w:i/>
          <w:sz w:val="20"/>
          <w:szCs w:val="20"/>
        </w:rPr>
        <w:t xml:space="preserve">de </w:t>
      </w:r>
      <w:r w:rsidR="00C219E7">
        <w:rPr>
          <w:rFonts w:ascii="Palatino Linotype" w:hAnsi="Palatino Linotype"/>
          <w:i/>
          <w:sz w:val="20"/>
          <w:szCs w:val="20"/>
        </w:rPr>
        <w:t xml:space="preserve">Organismos de Contralor que dispongan que se efectúe el ajuste por inflación </w:t>
      </w:r>
      <w:r w:rsidR="007B1F4D">
        <w:rPr>
          <w:rFonts w:ascii="Palatino Linotype" w:hAnsi="Palatino Linotype"/>
          <w:i/>
          <w:sz w:val="20"/>
          <w:szCs w:val="20"/>
        </w:rPr>
        <w:t xml:space="preserve">con el índice </w:t>
      </w:r>
      <w:r w:rsidR="007B1F4D" w:rsidRPr="007B1F4D">
        <w:rPr>
          <w:rFonts w:ascii="Palatino Linotype" w:hAnsi="Palatino Linotype"/>
          <w:i/>
          <w:sz w:val="20"/>
          <w:szCs w:val="20"/>
        </w:rPr>
        <w:t>determinado por la FACPCE en la Resolución Nº 539/18</w:t>
      </w:r>
      <w:r w:rsidR="007B1F4D">
        <w:rPr>
          <w:rFonts w:ascii="Palatino Linotype" w:hAnsi="Palatino Linotype"/>
          <w:i/>
          <w:sz w:val="20"/>
          <w:szCs w:val="20"/>
        </w:rPr>
        <w:t xml:space="preserve">, se considera razonable admitir la utilización de dicha metodología en la normativa contable profesional </w:t>
      </w:r>
      <w:r w:rsidR="002327EC">
        <w:rPr>
          <w:rFonts w:ascii="Palatino Linotype" w:hAnsi="Palatino Linotype"/>
          <w:i/>
          <w:sz w:val="20"/>
          <w:szCs w:val="20"/>
        </w:rPr>
        <w:t xml:space="preserve">en vigor </w:t>
      </w:r>
      <w:r w:rsidR="007B1F4D">
        <w:rPr>
          <w:rFonts w:ascii="Palatino Linotype" w:hAnsi="Palatino Linotype"/>
          <w:i/>
          <w:sz w:val="20"/>
          <w:szCs w:val="20"/>
        </w:rPr>
        <w:t>en la jurisdicción</w:t>
      </w:r>
      <w:r w:rsidR="000D4614">
        <w:rPr>
          <w:rFonts w:ascii="Palatino Linotype" w:hAnsi="Palatino Linotype"/>
          <w:i/>
          <w:sz w:val="20"/>
          <w:szCs w:val="20"/>
        </w:rPr>
        <w:t>.</w:t>
      </w:r>
      <w:r w:rsidR="007B1F4D">
        <w:rPr>
          <w:rFonts w:ascii="Palatino Linotype" w:hAnsi="Palatino Linotype"/>
          <w:i/>
          <w:sz w:val="20"/>
          <w:szCs w:val="20"/>
        </w:rPr>
        <w:t xml:space="preserve"> </w:t>
      </w:r>
      <w:r w:rsidR="00092790">
        <w:rPr>
          <w:rFonts w:ascii="Palatino Linotype" w:hAnsi="Palatino Linotype"/>
          <w:i/>
          <w:sz w:val="20"/>
          <w:szCs w:val="20"/>
        </w:rPr>
        <w:t xml:space="preserve"> </w:t>
      </w:r>
    </w:p>
    <w:p w:rsidR="00163335" w:rsidRDefault="00163335" w:rsidP="00DC76A9">
      <w:pPr>
        <w:spacing w:after="120" w:line="240" w:lineRule="auto"/>
        <w:ind w:firstLine="709"/>
        <w:jc w:val="both"/>
        <w:rPr>
          <w:rFonts w:ascii="Palatino Linotype" w:hAnsi="Palatino Linotype"/>
          <w:i/>
          <w:sz w:val="20"/>
          <w:szCs w:val="20"/>
        </w:rPr>
      </w:pPr>
      <w:r>
        <w:rPr>
          <w:rFonts w:ascii="Palatino Linotype" w:hAnsi="Palatino Linotype"/>
          <w:i/>
          <w:sz w:val="20"/>
          <w:szCs w:val="20"/>
        </w:rPr>
        <w:t xml:space="preserve">Por ello, la </w:t>
      </w:r>
    </w:p>
    <w:p w:rsidR="00F201E5" w:rsidRDefault="00F201E5" w:rsidP="00DC76A9">
      <w:pPr>
        <w:spacing w:after="120" w:line="240" w:lineRule="auto"/>
        <w:ind w:firstLine="709"/>
        <w:jc w:val="both"/>
        <w:rPr>
          <w:rFonts w:ascii="Palatino Linotype" w:hAnsi="Palatino Linotype"/>
          <w:i/>
          <w:sz w:val="20"/>
          <w:szCs w:val="20"/>
        </w:rPr>
      </w:pPr>
    </w:p>
    <w:p w:rsidR="00F201E5" w:rsidRDefault="00F201E5" w:rsidP="00DC76A9">
      <w:pPr>
        <w:spacing w:after="120" w:line="240" w:lineRule="auto"/>
        <w:ind w:firstLine="709"/>
        <w:jc w:val="both"/>
        <w:rPr>
          <w:rFonts w:ascii="Palatino Linotype" w:hAnsi="Palatino Linotype"/>
          <w:i/>
          <w:sz w:val="20"/>
          <w:szCs w:val="20"/>
        </w:rPr>
      </w:pPr>
    </w:p>
    <w:p w:rsidR="00F201E5" w:rsidRDefault="00F201E5" w:rsidP="00DC76A9">
      <w:pPr>
        <w:spacing w:after="120" w:line="240" w:lineRule="auto"/>
        <w:ind w:firstLine="709"/>
        <w:jc w:val="both"/>
        <w:rPr>
          <w:rFonts w:ascii="Palatino Linotype" w:hAnsi="Palatino Linotype"/>
          <w:i/>
          <w:sz w:val="20"/>
          <w:szCs w:val="20"/>
        </w:rPr>
      </w:pPr>
    </w:p>
    <w:p w:rsidR="00DC76A9" w:rsidRPr="001447CD" w:rsidRDefault="00DC76A9" w:rsidP="00DC76A9">
      <w:pPr>
        <w:spacing w:after="0" w:line="240" w:lineRule="auto"/>
        <w:ind w:firstLine="709"/>
        <w:jc w:val="center"/>
        <w:rPr>
          <w:rFonts w:ascii="Palatino Linotype" w:hAnsi="Palatino Linotype"/>
          <w:b/>
          <w:i/>
          <w:sz w:val="20"/>
          <w:szCs w:val="20"/>
          <w:u w:val="single"/>
        </w:rPr>
      </w:pPr>
      <w:r w:rsidRPr="001447CD">
        <w:rPr>
          <w:rFonts w:ascii="Palatino Linotype" w:hAnsi="Palatino Linotype"/>
          <w:b/>
          <w:i/>
          <w:sz w:val="20"/>
          <w:szCs w:val="20"/>
          <w:u w:val="single"/>
        </w:rPr>
        <w:lastRenderedPageBreak/>
        <w:t>MESA DIRECTIVA</w:t>
      </w:r>
    </w:p>
    <w:p w:rsidR="00DC76A9" w:rsidRPr="001447CD" w:rsidRDefault="00DC76A9" w:rsidP="00DC76A9">
      <w:pPr>
        <w:spacing w:after="0" w:line="240" w:lineRule="auto"/>
        <w:ind w:firstLine="709"/>
        <w:jc w:val="center"/>
        <w:rPr>
          <w:rFonts w:ascii="Palatino Linotype" w:hAnsi="Palatino Linotype"/>
          <w:b/>
          <w:i/>
          <w:sz w:val="20"/>
          <w:szCs w:val="20"/>
          <w:u w:val="single"/>
        </w:rPr>
      </w:pPr>
      <w:r w:rsidRPr="001447CD">
        <w:rPr>
          <w:rFonts w:ascii="Palatino Linotype" w:hAnsi="Palatino Linotype"/>
          <w:b/>
          <w:i/>
          <w:sz w:val="20"/>
          <w:szCs w:val="20"/>
          <w:u w:val="single"/>
        </w:rPr>
        <w:t>RESUELVE</w:t>
      </w:r>
      <w:r w:rsidR="001447CD">
        <w:rPr>
          <w:rFonts w:ascii="Palatino Linotype" w:hAnsi="Palatino Linotype"/>
          <w:b/>
          <w:i/>
          <w:sz w:val="20"/>
          <w:szCs w:val="20"/>
          <w:u w:val="single"/>
        </w:rPr>
        <w:t>:</w:t>
      </w:r>
    </w:p>
    <w:p w:rsidR="003610D5" w:rsidRDefault="003610D5" w:rsidP="00DC76A9">
      <w:pPr>
        <w:spacing w:after="0" w:line="240" w:lineRule="auto"/>
        <w:ind w:firstLine="709"/>
        <w:jc w:val="center"/>
        <w:rPr>
          <w:rFonts w:ascii="Palatino Linotype" w:hAnsi="Palatino Linotype"/>
          <w:b/>
          <w:i/>
          <w:sz w:val="20"/>
          <w:szCs w:val="20"/>
        </w:rPr>
      </w:pPr>
    </w:p>
    <w:p w:rsidR="00887933" w:rsidRDefault="003610D5" w:rsidP="00887933">
      <w:pPr>
        <w:spacing w:after="0" w:line="240" w:lineRule="auto"/>
        <w:jc w:val="both"/>
        <w:rPr>
          <w:rFonts w:ascii="Palatino Linotype" w:hAnsi="Palatino Linotype"/>
          <w:i/>
          <w:sz w:val="20"/>
          <w:szCs w:val="20"/>
        </w:rPr>
      </w:pPr>
      <w:r w:rsidRPr="00D74F99">
        <w:rPr>
          <w:rFonts w:ascii="Palatino Linotype" w:hAnsi="Palatino Linotype"/>
          <w:b/>
          <w:i/>
          <w:sz w:val="20"/>
          <w:szCs w:val="20"/>
          <w:u w:val="single"/>
        </w:rPr>
        <w:t>ARTÍCULO 1</w:t>
      </w:r>
      <w:r w:rsidR="00D74F99" w:rsidRPr="00D74F99">
        <w:rPr>
          <w:rFonts w:ascii="Palatino Linotype" w:hAnsi="Palatino Linotype"/>
          <w:b/>
          <w:i/>
          <w:sz w:val="20"/>
          <w:szCs w:val="20"/>
          <w:u w:val="single"/>
        </w:rPr>
        <w:t>°</w:t>
      </w:r>
      <w:r w:rsidRPr="00D74F99">
        <w:rPr>
          <w:rFonts w:ascii="Palatino Linotype" w:hAnsi="Palatino Linotype"/>
          <w:b/>
          <w:i/>
          <w:sz w:val="20"/>
          <w:szCs w:val="20"/>
          <w:u w:val="single"/>
        </w:rPr>
        <w:t>:</w:t>
      </w:r>
      <w:r>
        <w:rPr>
          <w:rFonts w:ascii="Palatino Linotype" w:hAnsi="Palatino Linotype"/>
          <w:i/>
          <w:sz w:val="20"/>
          <w:szCs w:val="20"/>
        </w:rPr>
        <w:t xml:space="preserve"> </w:t>
      </w:r>
      <w:r w:rsidR="00887933">
        <w:rPr>
          <w:rFonts w:ascii="Palatino Linotype" w:hAnsi="Palatino Linotype"/>
          <w:i/>
          <w:sz w:val="20"/>
          <w:szCs w:val="20"/>
        </w:rPr>
        <w:t>Aprobar las modificaciones al Anexo de la Resolución MD N° 2883 contenidas en el Anexo I de la presente resolución.</w:t>
      </w:r>
    </w:p>
    <w:p w:rsidR="00887933" w:rsidRDefault="00887933" w:rsidP="003610D5">
      <w:pPr>
        <w:spacing w:after="0" w:line="240" w:lineRule="auto"/>
        <w:rPr>
          <w:rFonts w:ascii="Palatino Linotype" w:hAnsi="Palatino Linotype"/>
          <w:i/>
          <w:sz w:val="20"/>
          <w:szCs w:val="20"/>
        </w:rPr>
      </w:pPr>
    </w:p>
    <w:p w:rsidR="00D74F99" w:rsidRDefault="00D74F99" w:rsidP="002B59C3">
      <w:pPr>
        <w:jc w:val="both"/>
        <w:rPr>
          <w:rFonts w:ascii="Palatino Linotype" w:hAnsi="Palatino Linotype"/>
          <w:i/>
          <w:sz w:val="20"/>
          <w:szCs w:val="20"/>
        </w:rPr>
      </w:pPr>
      <w:r w:rsidRPr="00D74F99">
        <w:rPr>
          <w:rFonts w:ascii="Palatino Linotype" w:hAnsi="Palatino Linotype"/>
          <w:b/>
          <w:i/>
          <w:sz w:val="20"/>
          <w:szCs w:val="20"/>
          <w:u w:val="single"/>
        </w:rPr>
        <w:t xml:space="preserve">ARTÍCULO </w:t>
      </w:r>
      <w:r w:rsidR="00887933">
        <w:rPr>
          <w:rFonts w:ascii="Palatino Linotype" w:hAnsi="Palatino Linotype"/>
          <w:b/>
          <w:i/>
          <w:sz w:val="20"/>
          <w:szCs w:val="20"/>
          <w:u w:val="single"/>
        </w:rPr>
        <w:t>2</w:t>
      </w:r>
      <w:r w:rsidRPr="00D74F99">
        <w:rPr>
          <w:rFonts w:ascii="Palatino Linotype" w:hAnsi="Palatino Linotype"/>
          <w:b/>
          <w:i/>
          <w:sz w:val="20"/>
          <w:szCs w:val="20"/>
          <w:u w:val="single"/>
        </w:rPr>
        <w:t>°</w:t>
      </w:r>
      <w:r>
        <w:rPr>
          <w:rFonts w:ascii="Palatino Linotype" w:hAnsi="Palatino Linotype"/>
          <w:b/>
          <w:i/>
          <w:sz w:val="20"/>
          <w:szCs w:val="20"/>
        </w:rPr>
        <w:t>:</w:t>
      </w:r>
      <w:r>
        <w:rPr>
          <w:rFonts w:ascii="Palatino Linotype" w:hAnsi="Palatino Linotype"/>
          <w:i/>
          <w:sz w:val="20"/>
          <w:szCs w:val="20"/>
        </w:rPr>
        <w:t xml:space="preserve"> Aprobar el Texto Ordenado </w:t>
      </w:r>
      <w:r w:rsidR="00887933">
        <w:rPr>
          <w:rFonts w:ascii="Palatino Linotype" w:hAnsi="Palatino Linotype"/>
          <w:i/>
          <w:sz w:val="20"/>
          <w:szCs w:val="20"/>
        </w:rPr>
        <w:t xml:space="preserve">del Anexo </w:t>
      </w:r>
      <w:r>
        <w:rPr>
          <w:rFonts w:ascii="Palatino Linotype" w:hAnsi="Palatino Linotype"/>
          <w:i/>
          <w:sz w:val="20"/>
          <w:szCs w:val="20"/>
        </w:rPr>
        <w:t xml:space="preserve">de la Resolución MD N° 2883 </w:t>
      </w:r>
      <w:r w:rsidR="00887933">
        <w:rPr>
          <w:rFonts w:ascii="Palatino Linotype" w:hAnsi="Palatino Linotype"/>
          <w:i/>
          <w:sz w:val="20"/>
          <w:szCs w:val="20"/>
        </w:rPr>
        <w:t xml:space="preserve"> que, con las modificaciones incorporadas por el Artículo 1°, </w:t>
      </w:r>
      <w:r>
        <w:rPr>
          <w:rFonts w:ascii="Palatino Linotype" w:hAnsi="Palatino Linotype"/>
          <w:i/>
          <w:sz w:val="20"/>
          <w:szCs w:val="20"/>
        </w:rPr>
        <w:t xml:space="preserve">se adjunta </w:t>
      </w:r>
      <w:r w:rsidR="00887933">
        <w:rPr>
          <w:rFonts w:ascii="Palatino Linotype" w:hAnsi="Palatino Linotype"/>
          <w:i/>
          <w:sz w:val="20"/>
          <w:szCs w:val="20"/>
        </w:rPr>
        <w:t xml:space="preserve">como Anexo II de esta </w:t>
      </w:r>
      <w:r>
        <w:rPr>
          <w:rFonts w:ascii="Palatino Linotype" w:hAnsi="Palatino Linotype"/>
          <w:i/>
          <w:sz w:val="20"/>
          <w:szCs w:val="20"/>
        </w:rPr>
        <w:t>resolución.</w:t>
      </w:r>
    </w:p>
    <w:p w:rsidR="00A97F4B" w:rsidRDefault="00D74F99" w:rsidP="00D45693">
      <w:pPr>
        <w:spacing w:line="240" w:lineRule="auto"/>
        <w:jc w:val="both"/>
        <w:rPr>
          <w:rFonts w:ascii="Palatino Linotype" w:hAnsi="Palatino Linotype"/>
          <w:i/>
          <w:sz w:val="20"/>
          <w:szCs w:val="20"/>
        </w:rPr>
      </w:pPr>
      <w:r w:rsidRPr="00D74F99">
        <w:rPr>
          <w:rFonts w:ascii="Palatino Linotype" w:hAnsi="Palatino Linotype"/>
          <w:b/>
          <w:i/>
          <w:sz w:val="20"/>
          <w:szCs w:val="20"/>
          <w:u w:val="single"/>
        </w:rPr>
        <w:t xml:space="preserve">ARTÍCULO </w:t>
      </w:r>
      <w:r w:rsidR="00887933">
        <w:rPr>
          <w:rFonts w:ascii="Palatino Linotype" w:hAnsi="Palatino Linotype"/>
          <w:b/>
          <w:i/>
          <w:sz w:val="20"/>
          <w:szCs w:val="20"/>
          <w:u w:val="single"/>
        </w:rPr>
        <w:t>3</w:t>
      </w:r>
      <w:r w:rsidRPr="00D74F99">
        <w:rPr>
          <w:rFonts w:ascii="Palatino Linotype" w:hAnsi="Palatino Linotype"/>
          <w:b/>
          <w:i/>
          <w:sz w:val="20"/>
          <w:szCs w:val="20"/>
          <w:u w:val="single"/>
        </w:rPr>
        <w:t>°</w:t>
      </w:r>
      <w:r>
        <w:rPr>
          <w:rFonts w:ascii="Palatino Linotype" w:hAnsi="Palatino Linotype"/>
          <w:b/>
          <w:i/>
          <w:sz w:val="20"/>
          <w:szCs w:val="20"/>
        </w:rPr>
        <w:t>:</w:t>
      </w:r>
      <w:r>
        <w:rPr>
          <w:rFonts w:ascii="Palatino Linotype" w:hAnsi="Palatino Linotype"/>
          <w:i/>
          <w:sz w:val="20"/>
          <w:szCs w:val="20"/>
        </w:rPr>
        <w:t xml:space="preserve"> </w:t>
      </w:r>
      <w:r w:rsidR="002B59C3">
        <w:rPr>
          <w:rFonts w:ascii="Palatino Linotype" w:hAnsi="Palatino Linotype"/>
          <w:i/>
          <w:sz w:val="20"/>
          <w:szCs w:val="20"/>
        </w:rPr>
        <w:t xml:space="preserve">Establecer que para el caso de estados contables de entes que se encuentren bajo el control de Organismos de Contralor que dispongan que se efectúe el ajuste por inflación con el índice </w:t>
      </w:r>
      <w:r w:rsidR="00A527E0">
        <w:rPr>
          <w:rFonts w:ascii="Palatino Linotype" w:hAnsi="Palatino Linotype"/>
          <w:i/>
          <w:sz w:val="20"/>
          <w:szCs w:val="20"/>
        </w:rPr>
        <w:t>indicado</w:t>
      </w:r>
      <w:r w:rsidR="002B59C3" w:rsidRPr="007B1F4D">
        <w:rPr>
          <w:rFonts w:ascii="Palatino Linotype" w:hAnsi="Palatino Linotype"/>
          <w:i/>
          <w:sz w:val="20"/>
          <w:szCs w:val="20"/>
        </w:rPr>
        <w:t xml:space="preserve"> en la Resolución</w:t>
      </w:r>
      <w:r w:rsidR="00A527E0">
        <w:rPr>
          <w:rFonts w:ascii="Palatino Linotype" w:hAnsi="Palatino Linotype"/>
          <w:i/>
          <w:sz w:val="20"/>
          <w:szCs w:val="20"/>
        </w:rPr>
        <w:t xml:space="preserve"> JG FACPCE</w:t>
      </w:r>
      <w:r w:rsidR="002B59C3" w:rsidRPr="007B1F4D">
        <w:rPr>
          <w:rFonts w:ascii="Palatino Linotype" w:hAnsi="Palatino Linotype"/>
          <w:i/>
          <w:sz w:val="20"/>
          <w:szCs w:val="20"/>
        </w:rPr>
        <w:t xml:space="preserve"> Nº 539/18</w:t>
      </w:r>
      <w:r w:rsidR="002B59C3">
        <w:rPr>
          <w:rFonts w:ascii="Palatino Linotype" w:hAnsi="Palatino Linotype"/>
          <w:i/>
          <w:sz w:val="20"/>
          <w:szCs w:val="20"/>
        </w:rPr>
        <w:t xml:space="preserve">, se admitirá la aplicación alternativa del señalado índice para la </w:t>
      </w:r>
      <w:proofErr w:type="spellStart"/>
      <w:r w:rsidR="002B59C3">
        <w:rPr>
          <w:rFonts w:ascii="Palatino Linotype" w:hAnsi="Palatino Linotype"/>
          <w:i/>
          <w:sz w:val="20"/>
          <w:szCs w:val="20"/>
        </w:rPr>
        <w:t>reexpresión</w:t>
      </w:r>
      <w:proofErr w:type="spellEnd"/>
      <w:r w:rsidR="002B59C3">
        <w:rPr>
          <w:rFonts w:ascii="Palatino Linotype" w:hAnsi="Palatino Linotype"/>
          <w:i/>
          <w:sz w:val="20"/>
          <w:szCs w:val="20"/>
        </w:rPr>
        <w:t xml:space="preserve"> de las cifras de los estados contables.</w:t>
      </w:r>
    </w:p>
    <w:p w:rsidR="000466BB" w:rsidRDefault="00487EFE" w:rsidP="000466BB">
      <w:pPr>
        <w:pStyle w:val="Prrafodelista"/>
        <w:ind w:left="0"/>
        <w:jc w:val="both"/>
        <w:rPr>
          <w:rFonts w:ascii="Palatino Linotype" w:hAnsi="Palatino Linotype"/>
          <w:bCs/>
          <w:i/>
          <w:sz w:val="20"/>
          <w:szCs w:val="20"/>
        </w:rPr>
      </w:pPr>
      <w:r w:rsidRPr="000341D0">
        <w:rPr>
          <w:rFonts w:ascii="Palatino Linotype" w:hAnsi="Palatino Linotype"/>
          <w:b/>
          <w:i/>
          <w:sz w:val="20"/>
          <w:szCs w:val="20"/>
          <w:u w:val="single"/>
        </w:rPr>
        <w:t xml:space="preserve">ARTÍCULO </w:t>
      </w:r>
      <w:r w:rsidR="00D45693">
        <w:rPr>
          <w:rFonts w:ascii="Palatino Linotype" w:hAnsi="Palatino Linotype"/>
          <w:b/>
          <w:i/>
          <w:sz w:val="20"/>
          <w:szCs w:val="20"/>
          <w:u w:val="single"/>
        </w:rPr>
        <w:t>4</w:t>
      </w:r>
      <w:r w:rsidRPr="000341D0">
        <w:rPr>
          <w:rFonts w:ascii="Palatino Linotype" w:hAnsi="Palatino Linotype"/>
          <w:b/>
          <w:i/>
          <w:sz w:val="20"/>
          <w:szCs w:val="20"/>
          <w:u w:val="single"/>
        </w:rPr>
        <w:t>°</w:t>
      </w:r>
      <w:r w:rsidRPr="000341D0">
        <w:rPr>
          <w:rFonts w:ascii="Palatino Linotype" w:hAnsi="Palatino Linotype"/>
          <w:b/>
          <w:i/>
          <w:sz w:val="20"/>
          <w:szCs w:val="20"/>
        </w:rPr>
        <w:t>:</w:t>
      </w:r>
      <w:r w:rsidR="00A97F4B" w:rsidRPr="00A552DE">
        <w:rPr>
          <w:rFonts w:ascii="Palatino Linotype" w:hAnsi="Palatino Linotype"/>
          <w:bCs/>
          <w:i/>
          <w:sz w:val="20"/>
          <w:szCs w:val="20"/>
        </w:rPr>
        <w:t>Regístrese, comuníquese y archívese.</w:t>
      </w:r>
    </w:p>
    <w:p w:rsidR="000466BB" w:rsidRDefault="00A97F4B" w:rsidP="000466BB">
      <w:pPr>
        <w:pStyle w:val="Prrafodelista"/>
        <w:ind w:left="0"/>
        <w:jc w:val="both"/>
        <w:rPr>
          <w:rFonts w:ascii="Palatino Linotype" w:hAnsi="Palatino Linotype"/>
          <w:b/>
          <w:bCs/>
          <w:i/>
          <w:sz w:val="18"/>
          <w:szCs w:val="18"/>
          <w:u w:val="single"/>
        </w:rPr>
      </w:pPr>
      <w:r w:rsidRPr="00A97F4B">
        <w:rPr>
          <w:rFonts w:ascii="Palatino Linotype" w:hAnsi="Palatino Linotype"/>
          <w:b/>
          <w:bCs/>
          <w:i/>
          <w:sz w:val="18"/>
          <w:szCs w:val="18"/>
          <w:u w:val="single"/>
        </w:rPr>
        <w:t xml:space="preserve">Acta MD </w:t>
      </w:r>
      <w:r w:rsidR="001447CD">
        <w:rPr>
          <w:rFonts w:ascii="Palatino Linotype" w:hAnsi="Palatino Linotype"/>
          <w:b/>
          <w:bCs/>
          <w:i/>
          <w:sz w:val="18"/>
          <w:szCs w:val="18"/>
          <w:u w:val="single"/>
        </w:rPr>
        <w:t>1440</w:t>
      </w:r>
      <w:r w:rsidRPr="00A97F4B">
        <w:rPr>
          <w:rFonts w:ascii="Palatino Linotype" w:hAnsi="Palatino Linotype"/>
          <w:b/>
          <w:bCs/>
          <w:i/>
          <w:sz w:val="18"/>
          <w:szCs w:val="18"/>
          <w:u w:val="single"/>
        </w:rPr>
        <w:t xml:space="preserve"> – </w:t>
      </w:r>
      <w:r w:rsidR="001447CD">
        <w:rPr>
          <w:rFonts w:ascii="Palatino Linotype" w:hAnsi="Palatino Linotype"/>
          <w:b/>
          <w:bCs/>
          <w:i/>
          <w:sz w:val="18"/>
          <w:szCs w:val="18"/>
          <w:u w:val="single"/>
        </w:rPr>
        <w:t>19</w:t>
      </w:r>
      <w:r w:rsidRPr="00A97F4B">
        <w:rPr>
          <w:rFonts w:ascii="Palatino Linotype" w:hAnsi="Palatino Linotype"/>
          <w:b/>
          <w:bCs/>
          <w:i/>
          <w:sz w:val="18"/>
          <w:szCs w:val="18"/>
          <w:u w:val="single"/>
        </w:rPr>
        <w:t>/</w:t>
      </w:r>
      <w:r w:rsidR="001447CD">
        <w:rPr>
          <w:rFonts w:ascii="Palatino Linotype" w:hAnsi="Palatino Linotype"/>
          <w:b/>
          <w:bCs/>
          <w:i/>
          <w:sz w:val="18"/>
          <w:szCs w:val="18"/>
          <w:u w:val="single"/>
        </w:rPr>
        <w:t>07</w:t>
      </w:r>
      <w:r w:rsidRPr="00A97F4B">
        <w:rPr>
          <w:rFonts w:ascii="Palatino Linotype" w:hAnsi="Palatino Linotype"/>
          <w:b/>
          <w:bCs/>
          <w:i/>
          <w:sz w:val="18"/>
          <w:szCs w:val="18"/>
          <w:u w:val="single"/>
        </w:rPr>
        <w:t>/2019</w:t>
      </w:r>
    </w:p>
    <w:p w:rsidR="006F12CD" w:rsidRPr="000466BB" w:rsidRDefault="006F12CD" w:rsidP="000466BB">
      <w:pPr>
        <w:pStyle w:val="Prrafodelista"/>
        <w:ind w:left="0"/>
        <w:jc w:val="both"/>
        <w:rPr>
          <w:rFonts w:ascii="Palatino Linotype" w:hAnsi="Palatino Linotype"/>
          <w:b/>
          <w:bCs/>
          <w:i/>
          <w:u w:val="single"/>
        </w:rPr>
      </w:pPr>
      <w:r w:rsidRPr="00BA681B">
        <w:rPr>
          <w:rFonts w:ascii="Palatino Linotype" w:hAnsi="Palatino Linotype"/>
          <w:bCs/>
          <w:i/>
          <w:sz w:val="18"/>
          <w:szCs w:val="18"/>
        </w:rPr>
        <w:t>CGG</w:t>
      </w:r>
    </w:p>
    <w:p w:rsidR="006F12CD" w:rsidRDefault="006F12CD" w:rsidP="006F12CD">
      <w:pPr>
        <w:jc w:val="both"/>
        <w:rPr>
          <w:rFonts w:ascii="Palatino Linotype" w:hAnsi="Palatino Linotype"/>
          <w:b/>
          <w:bCs/>
          <w:i/>
          <w:sz w:val="18"/>
          <w:szCs w:val="18"/>
          <w:u w:val="single"/>
        </w:rPr>
      </w:pPr>
    </w:p>
    <w:p w:rsidR="000466BB" w:rsidRDefault="000466BB" w:rsidP="006F12CD">
      <w:pPr>
        <w:jc w:val="both"/>
        <w:rPr>
          <w:rFonts w:ascii="Palatino Linotype" w:hAnsi="Palatino Linotype"/>
          <w:b/>
          <w:bCs/>
          <w:i/>
          <w:sz w:val="18"/>
          <w:szCs w:val="18"/>
          <w:u w:val="single"/>
        </w:rPr>
      </w:pPr>
    </w:p>
    <w:p w:rsidR="006F12CD" w:rsidRPr="00BA681B" w:rsidRDefault="006F12CD" w:rsidP="006F12CD">
      <w:pPr>
        <w:jc w:val="both"/>
        <w:rPr>
          <w:rFonts w:ascii="Palatino Linotype" w:hAnsi="Palatino Linotype"/>
          <w:b/>
          <w:bCs/>
          <w:i/>
          <w:sz w:val="18"/>
          <w:szCs w:val="18"/>
          <w:u w:val="single"/>
        </w:rPr>
      </w:pPr>
    </w:p>
    <w:p w:rsidR="006F12CD" w:rsidRDefault="006F12CD" w:rsidP="006F12CD">
      <w:pPr>
        <w:rPr>
          <w:rFonts w:ascii="Palatino Linotype" w:hAnsi="Palatino Linotype"/>
          <w:i/>
        </w:rPr>
      </w:pPr>
    </w:p>
    <w:tbl>
      <w:tblPr>
        <w:tblW w:w="5000" w:type="pct"/>
        <w:shd w:val="clear" w:color="auto" w:fill="FFFFFF"/>
        <w:tblCellMar>
          <w:left w:w="0" w:type="dxa"/>
          <w:right w:w="0" w:type="dxa"/>
        </w:tblCellMar>
        <w:tblLook w:val="04A0"/>
      </w:tblPr>
      <w:tblGrid>
        <w:gridCol w:w="2881"/>
        <w:gridCol w:w="2881"/>
        <w:gridCol w:w="2882"/>
      </w:tblGrid>
      <w:tr w:rsidR="006F12CD" w:rsidRPr="0015670E" w:rsidTr="002422EB">
        <w:tc>
          <w:tcPr>
            <w:tcW w:w="1650" w:type="pct"/>
            <w:shd w:val="clear" w:color="auto" w:fill="FFFFFF"/>
            <w:tcMar>
              <w:top w:w="0" w:type="dxa"/>
              <w:left w:w="70" w:type="dxa"/>
              <w:bottom w:w="0" w:type="dxa"/>
              <w:right w:w="70" w:type="dxa"/>
            </w:tcMar>
            <w:hideMark/>
          </w:tcPr>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Dr</w:t>
            </w:r>
            <w:r>
              <w:rPr>
                <w:rFonts w:ascii="Palatino Linotype" w:hAnsi="Palatino Linotype"/>
                <w:b/>
                <w:bCs/>
                <w:i/>
                <w:iCs/>
                <w:color w:val="222222"/>
                <w:sz w:val="16"/>
                <w:szCs w:val="16"/>
                <w:lang w:eastAsia="es-AR"/>
              </w:rPr>
              <w:t>a</w:t>
            </w:r>
            <w:r w:rsidRPr="0015670E">
              <w:rPr>
                <w:rFonts w:ascii="Palatino Linotype" w:hAnsi="Palatino Linotype"/>
                <w:b/>
                <w:bCs/>
                <w:i/>
                <w:iCs/>
                <w:color w:val="222222"/>
                <w:sz w:val="16"/>
                <w:szCs w:val="16"/>
                <w:lang w:eastAsia="es-AR"/>
              </w:rPr>
              <w:t xml:space="preserve">. </w:t>
            </w:r>
            <w:r>
              <w:rPr>
                <w:rFonts w:ascii="Palatino Linotype" w:hAnsi="Palatino Linotype"/>
                <w:b/>
                <w:bCs/>
                <w:i/>
                <w:iCs/>
                <w:color w:val="222222"/>
                <w:sz w:val="16"/>
                <w:szCs w:val="16"/>
                <w:lang w:eastAsia="es-AR"/>
              </w:rPr>
              <w:t>Diana</w:t>
            </w:r>
            <w:r w:rsidRPr="0015670E">
              <w:rPr>
                <w:rFonts w:ascii="Palatino Linotype" w:hAnsi="Palatino Linotype"/>
                <w:b/>
                <w:bCs/>
                <w:i/>
                <w:iCs/>
                <w:color w:val="222222"/>
                <w:sz w:val="16"/>
                <w:szCs w:val="16"/>
                <w:lang w:eastAsia="es-AR"/>
              </w:rPr>
              <w:t xml:space="preserve"> </w:t>
            </w:r>
            <w:r>
              <w:rPr>
                <w:rFonts w:ascii="Palatino Linotype" w:hAnsi="Palatino Linotype"/>
                <w:b/>
                <w:bCs/>
                <w:i/>
                <w:iCs/>
                <w:color w:val="222222"/>
                <w:sz w:val="16"/>
                <w:szCs w:val="16"/>
                <w:lang w:eastAsia="es-AR"/>
              </w:rPr>
              <w:t>S</w:t>
            </w:r>
            <w:r w:rsidRPr="0015670E">
              <w:rPr>
                <w:rFonts w:ascii="Palatino Linotype" w:hAnsi="Palatino Linotype"/>
                <w:b/>
                <w:bCs/>
                <w:i/>
                <w:iCs/>
                <w:color w:val="222222"/>
                <w:sz w:val="16"/>
                <w:szCs w:val="16"/>
                <w:lang w:eastAsia="es-AR"/>
              </w:rPr>
              <w:t xml:space="preserve">. </w:t>
            </w:r>
            <w:r>
              <w:rPr>
                <w:rFonts w:ascii="Palatino Linotype" w:hAnsi="Palatino Linotype"/>
                <w:b/>
                <w:bCs/>
                <w:i/>
                <w:iCs/>
                <w:color w:val="222222"/>
                <w:sz w:val="16"/>
                <w:szCs w:val="16"/>
                <w:lang w:eastAsia="es-AR"/>
              </w:rPr>
              <w:t>Valente</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Contador Público</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Secretari</w:t>
            </w:r>
            <w:r>
              <w:rPr>
                <w:rFonts w:ascii="Palatino Linotype" w:hAnsi="Palatino Linotype"/>
                <w:b/>
                <w:bCs/>
                <w:i/>
                <w:iCs/>
                <w:color w:val="222222"/>
                <w:sz w:val="16"/>
                <w:szCs w:val="16"/>
                <w:lang w:eastAsia="es-AR"/>
              </w:rPr>
              <w:t>a</w:t>
            </w:r>
            <w:r w:rsidRPr="0015670E">
              <w:rPr>
                <w:rFonts w:ascii="Palatino Linotype" w:hAnsi="Palatino Linotype"/>
                <w:b/>
                <w:bCs/>
                <w:i/>
                <w:iCs/>
                <w:color w:val="222222"/>
                <w:sz w:val="16"/>
                <w:szCs w:val="16"/>
                <w:lang w:eastAsia="es-AR"/>
              </w:rPr>
              <w:t xml:space="preserve"> General</w:t>
            </w:r>
          </w:p>
        </w:tc>
        <w:tc>
          <w:tcPr>
            <w:tcW w:w="1650" w:type="pct"/>
            <w:shd w:val="clear" w:color="auto" w:fill="FFFFFF"/>
            <w:tcMar>
              <w:top w:w="0" w:type="dxa"/>
              <w:left w:w="70" w:type="dxa"/>
              <w:bottom w:w="0" w:type="dxa"/>
              <w:right w:w="70" w:type="dxa"/>
            </w:tcMar>
            <w:hideMark/>
          </w:tcPr>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w:t>
            </w:r>
          </w:p>
        </w:tc>
        <w:tc>
          <w:tcPr>
            <w:tcW w:w="1650" w:type="pct"/>
            <w:shd w:val="clear" w:color="auto" w:fill="FFFFFF"/>
            <w:tcMar>
              <w:top w:w="0" w:type="dxa"/>
              <w:left w:w="70" w:type="dxa"/>
              <w:bottom w:w="0" w:type="dxa"/>
              <w:right w:w="70" w:type="dxa"/>
            </w:tcMar>
            <w:hideMark/>
          </w:tcPr>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 xml:space="preserve">Dr. </w:t>
            </w:r>
            <w:r>
              <w:rPr>
                <w:rFonts w:ascii="Palatino Linotype" w:hAnsi="Palatino Linotype"/>
                <w:b/>
                <w:bCs/>
                <w:i/>
                <w:iCs/>
                <w:color w:val="222222"/>
                <w:sz w:val="16"/>
                <w:szCs w:val="16"/>
                <w:lang w:eastAsia="es-AR"/>
              </w:rPr>
              <w:t>Hugo R. Giménez</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Contador Público</w:t>
            </w:r>
          </w:p>
          <w:p w:rsidR="006F12CD" w:rsidRPr="0015670E" w:rsidRDefault="006F12CD" w:rsidP="006F12CD">
            <w:pPr>
              <w:spacing w:after="0" w:line="240" w:lineRule="auto"/>
              <w:jc w:val="center"/>
              <w:rPr>
                <w:color w:val="222222"/>
                <w:lang w:eastAsia="es-AR"/>
              </w:rPr>
            </w:pPr>
            <w:r w:rsidRPr="0015670E">
              <w:rPr>
                <w:rFonts w:ascii="Palatino Linotype" w:hAnsi="Palatino Linotype"/>
                <w:b/>
                <w:bCs/>
                <w:i/>
                <w:iCs/>
                <w:color w:val="222222"/>
                <w:sz w:val="16"/>
                <w:szCs w:val="16"/>
                <w:lang w:eastAsia="es-AR"/>
              </w:rPr>
              <w:t>Presidente</w:t>
            </w:r>
          </w:p>
        </w:tc>
      </w:tr>
    </w:tbl>
    <w:p w:rsidR="002B59C3" w:rsidRPr="00EB7524" w:rsidRDefault="002B59C3" w:rsidP="002B59C3">
      <w:pPr>
        <w:spacing w:after="120" w:line="240" w:lineRule="auto"/>
        <w:jc w:val="both"/>
        <w:rPr>
          <w:rFonts w:cstheme="minorHAnsi"/>
          <w:i/>
          <w:sz w:val="18"/>
          <w:szCs w:val="18"/>
        </w:rPr>
      </w:pPr>
    </w:p>
    <w:p w:rsidR="00EE3DFF" w:rsidRDefault="00EE3DFF">
      <w:pPr>
        <w:rPr>
          <w:rFonts w:ascii="Palatino Linotype" w:hAnsi="Palatino Linotype"/>
          <w:i/>
          <w:sz w:val="20"/>
          <w:szCs w:val="20"/>
        </w:rPr>
      </w:pPr>
      <w:r>
        <w:rPr>
          <w:rFonts w:ascii="Palatino Linotype" w:hAnsi="Palatino Linotype"/>
          <w:i/>
          <w:sz w:val="20"/>
          <w:szCs w:val="20"/>
        </w:rPr>
        <w:br w:type="page"/>
      </w:r>
    </w:p>
    <w:p w:rsidR="00887933" w:rsidRPr="00A552DE" w:rsidRDefault="00887933" w:rsidP="00887933">
      <w:pPr>
        <w:spacing w:after="0" w:line="240" w:lineRule="auto"/>
        <w:rPr>
          <w:rFonts w:ascii="Palatino Linotype" w:hAnsi="Palatino Linotype"/>
          <w:b/>
          <w:i/>
          <w:sz w:val="20"/>
          <w:szCs w:val="20"/>
        </w:rPr>
      </w:pPr>
      <w:r w:rsidRPr="00A552DE">
        <w:rPr>
          <w:rFonts w:ascii="Palatino Linotype" w:hAnsi="Palatino Linotype"/>
          <w:b/>
          <w:i/>
          <w:sz w:val="20"/>
          <w:szCs w:val="20"/>
        </w:rPr>
        <w:lastRenderedPageBreak/>
        <w:t>Anexo I</w:t>
      </w:r>
    </w:p>
    <w:p w:rsidR="00887933" w:rsidRPr="00A552DE" w:rsidRDefault="00887933" w:rsidP="00887933">
      <w:pPr>
        <w:spacing w:after="0" w:line="240" w:lineRule="auto"/>
        <w:rPr>
          <w:rFonts w:ascii="Palatino Linotype" w:hAnsi="Palatino Linotype"/>
          <w:i/>
          <w:sz w:val="20"/>
          <w:szCs w:val="20"/>
        </w:rPr>
      </w:pPr>
    </w:p>
    <w:p w:rsidR="00887933" w:rsidRDefault="00887933" w:rsidP="00887933">
      <w:pPr>
        <w:pStyle w:val="Prrafodelista"/>
        <w:numPr>
          <w:ilvl w:val="0"/>
          <w:numId w:val="16"/>
        </w:numPr>
        <w:tabs>
          <w:tab w:val="left" w:pos="142"/>
        </w:tabs>
        <w:spacing w:after="0" w:line="240" w:lineRule="auto"/>
        <w:ind w:left="0" w:firstLine="0"/>
        <w:rPr>
          <w:rFonts w:ascii="Palatino Linotype" w:hAnsi="Palatino Linotype"/>
          <w:b/>
          <w:i/>
          <w:sz w:val="20"/>
          <w:szCs w:val="20"/>
        </w:rPr>
      </w:pPr>
      <w:r w:rsidRPr="00A552DE">
        <w:rPr>
          <w:rFonts w:ascii="Palatino Linotype" w:hAnsi="Palatino Linotype"/>
          <w:b/>
          <w:i/>
          <w:sz w:val="20"/>
          <w:szCs w:val="20"/>
        </w:rPr>
        <w:t xml:space="preserve">Modificar </w:t>
      </w:r>
      <w:r w:rsidR="00CE0A6E">
        <w:rPr>
          <w:rFonts w:ascii="Palatino Linotype" w:hAnsi="Palatino Linotype"/>
          <w:b/>
          <w:i/>
          <w:sz w:val="20"/>
          <w:szCs w:val="20"/>
        </w:rPr>
        <w:t xml:space="preserve"> el Título y </w:t>
      </w:r>
      <w:r w:rsidRPr="00A552DE">
        <w:rPr>
          <w:rFonts w:ascii="Palatino Linotype" w:hAnsi="Palatino Linotype"/>
          <w:b/>
          <w:i/>
          <w:sz w:val="20"/>
          <w:szCs w:val="20"/>
        </w:rPr>
        <w:t>los Puntos  1.6., 3.6, 5.4., 6., 6.1., 7 y 7.1. del Anexo de la Resolución MD N° 2883 que quedarán redactados como se indica a continuación:</w:t>
      </w:r>
    </w:p>
    <w:p w:rsidR="00CE0A6E" w:rsidRDefault="00CE0A6E" w:rsidP="00CE0A6E">
      <w:pPr>
        <w:pStyle w:val="Prrafodelista"/>
        <w:tabs>
          <w:tab w:val="left" w:pos="142"/>
        </w:tabs>
        <w:spacing w:after="0" w:line="240" w:lineRule="auto"/>
        <w:ind w:left="0"/>
        <w:rPr>
          <w:rFonts w:ascii="Palatino Linotype" w:hAnsi="Palatino Linotype"/>
          <w:b/>
          <w:i/>
          <w:sz w:val="20"/>
          <w:szCs w:val="20"/>
        </w:rPr>
      </w:pPr>
    </w:p>
    <w:p w:rsidR="00CE0A6E" w:rsidRDefault="00CE0A6E" w:rsidP="00CE0A6E">
      <w:pPr>
        <w:pStyle w:val="Prrafodelista"/>
        <w:numPr>
          <w:ilvl w:val="0"/>
          <w:numId w:val="10"/>
        </w:numPr>
        <w:tabs>
          <w:tab w:val="left" w:pos="142"/>
        </w:tabs>
        <w:spacing w:after="0" w:line="240" w:lineRule="auto"/>
        <w:rPr>
          <w:rFonts w:ascii="Palatino Linotype" w:hAnsi="Palatino Linotype"/>
          <w:b/>
          <w:i/>
          <w:sz w:val="20"/>
          <w:szCs w:val="20"/>
          <w:u w:val="single"/>
        </w:rPr>
      </w:pPr>
      <w:r w:rsidRPr="00CE0A6E">
        <w:rPr>
          <w:rFonts w:ascii="Palatino Linotype" w:hAnsi="Palatino Linotype"/>
          <w:b/>
          <w:i/>
          <w:sz w:val="20"/>
          <w:szCs w:val="20"/>
          <w:u w:val="single"/>
        </w:rPr>
        <w:t>TÍTULO</w:t>
      </w:r>
    </w:p>
    <w:p w:rsidR="00CE0A6E" w:rsidRDefault="00CE0A6E" w:rsidP="00CE0A6E">
      <w:pPr>
        <w:pStyle w:val="Prrafodelista"/>
        <w:tabs>
          <w:tab w:val="left" w:pos="142"/>
        </w:tabs>
        <w:spacing w:after="0" w:line="240" w:lineRule="auto"/>
        <w:rPr>
          <w:rFonts w:ascii="Palatino Linotype" w:hAnsi="Palatino Linotype"/>
          <w:b/>
          <w:i/>
          <w:sz w:val="20"/>
          <w:szCs w:val="20"/>
          <w:u w:val="single"/>
        </w:rPr>
      </w:pPr>
    </w:p>
    <w:p w:rsidR="00887933" w:rsidRPr="00CE0A6E" w:rsidRDefault="00CE0A6E" w:rsidP="00CE0A6E">
      <w:pPr>
        <w:ind w:left="709"/>
        <w:jc w:val="both"/>
        <w:rPr>
          <w:rFonts w:ascii="Palatino Linotype" w:hAnsi="Palatino Linotype"/>
          <w:b/>
          <w:i/>
        </w:rPr>
      </w:pPr>
      <w:r>
        <w:rPr>
          <w:rFonts w:ascii="Palatino Linotype" w:hAnsi="Palatino Linotype"/>
          <w:b/>
          <w:i/>
        </w:rPr>
        <w:t>“</w:t>
      </w:r>
      <w:r w:rsidRPr="00153DB5">
        <w:rPr>
          <w:rFonts w:ascii="Palatino Linotype" w:hAnsi="Palatino Linotype"/>
          <w:b/>
          <w:i/>
        </w:rPr>
        <w:t xml:space="preserve">SEGUNDA PARTE </w:t>
      </w:r>
      <w:r>
        <w:rPr>
          <w:rFonts w:ascii="Palatino Linotype" w:hAnsi="Palatino Linotype"/>
          <w:b/>
          <w:i/>
        </w:rPr>
        <w:t>DE LA RES. N° 539/18 DE JUNTA DE GOBIERNO DE LA FACPCE, CONFORME HA SIDO APROBADA POR LA RESOLUCIÓN MD N° 2883,  CON LAS MODIFICACIONES INTRODUCIDAS POR LA RESOLUCIÓN MD N°</w:t>
      </w:r>
      <w:r w:rsidR="001447CD">
        <w:rPr>
          <w:rFonts w:ascii="Palatino Linotype" w:hAnsi="Palatino Linotype"/>
          <w:b/>
          <w:i/>
        </w:rPr>
        <w:t xml:space="preserve"> 2979</w:t>
      </w:r>
      <w:r>
        <w:rPr>
          <w:rFonts w:ascii="Palatino Linotype" w:hAnsi="Palatino Linotype"/>
          <w:b/>
          <w:i/>
        </w:rPr>
        <w:t>”</w:t>
      </w: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1.6.</w:t>
      </w:r>
    </w:p>
    <w:p w:rsidR="00887933" w:rsidRPr="00A552DE" w:rsidRDefault="00887933" w:rsidP="00887933">
      <w:pPr>
        <w:pStyle w:val="Prrafodelista"/>
        <w:spacing w:after="0" w:line="240" w:lineRule="auto"/>
        <w:rPr>
          <w:rFonts w:ascii="Palatino Linotype" w:hAnsi="Palatino Linotype"/>
          <w:b/>
          <w:i/>
          <w:sz w:val="20"/>
          <w:szCs w:val="20"/>
        </w:rPr>
      </w:pPr>
    </w:p>
    <w:p w:rsidR="00887933" w:rsidRPr="00A552DE" w:rsidRDefault="00887933" w:rsidP="00887933">
      <w:pPr>
        <w:pStyle w:val="Prrafodelista"/>
        <w:tabs>
          <w:tab w:val="left" w:pos="142"/>
          <w:tab w:val="left" w:pos="284"/>
        </w:tabs>
        <w:spacing w:after="0" w:line="240" w:lineRule="auto"/>
        <w:ind w:left="709"/>
        <w:jc w:val="both"/>
        <w:rPr>
          <w:rFonts w:ascii="Palatino Linotype" w:hAnsi="Palatino Linotype"/>
          <w:i/>
          <w:sz w:val="20"/>
          <w:szCs w:val="20"/>
        </w:rPr>
      </w:pPr>
      <w:r w:rsidRPr="00A552DE">
        <w:rPr>
          <w:rFonts w:ascii="Palatino Linotype" w:hAnsi="Palatino Linotype"/>
          <w:i/>
          <w:sz w:val="20"/>
          <w:szCs w:val="20"/>
        </w:rPr>
        <w:t>“1.6.Las opciones incluidas en esta resolución, con el alcance establecido para cada una de ellas, son elegibles por parte del ente que deba aplicar el ajuste por inflación de acuerdo</w:t>
      </w:r>
      <w:r w:rsidR="00EE4491" w:rsidRPr="00A552DE">
        <w:rPr>
          <w:rFonts w:ascii="Palatino Linotype" w:hAnsi="Palatino Linotype"/>
          <w:i/>
          <w:sz w:val="20"/>
          <w:szCs w:val="20"/>
        </w:rPr>
        <w:t xml:space="preserve"> con</w:t>
      </w:r>
      <w:r w:rsidRPr="00A552DE">
        <w:rPr>
          <w:rFonts w:ascii="Palatino Linotype" w:hAnsi="Palatino Linotype"/>
          <w:i/>
          <w:sz w:val="20"/>
          <w:szCs w:val="20"/>
        </w:rPr>
        <w:t xml:space="preserve"> las normas contables argentinas.”</w:t>
      </w:r>
    </w:p>
    <w:p w:rsidR="00887933" w:rsidRPr="00A552DE" w:rsidRDefault="00887933" w:rsidP="00887933">
      <w:pPr>
        <w:pStyle w:val="Prrafodelista"/>
        <w:tabs>
          <w:tab w:val="left" w:pos="142"/>
          <w:tab w:val="left" w:pos="284"/>
        </w:tabs>
        <w:spacing w:after="0" w:line="240" w:lineRule="auto"/>
        <w:ind w:left="426" w:hanging="426"/>
        <w:jc w:val="both"/>
        <w:rPr>
          <w:rFonts w:ascii="Palatino Linotype" w:hAnsi="Palatino Linotype"/>
          <w:i/>
          <w:sz w:val="20"/>
          <w:szCs w:val="20"/>
        </w:rPr>
      </w:pP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3.6.</w:t>
      </w:r>
    </w:p>
    <w:p w:rsidR="00887933" w:rsidRPr="00A552DE" w:rsidRDefault="00887933" w:rsidP="00887933">
      <w:pPr>
        <w:tabs>
          <w:tab w:val="left" w:pos="142"/>
          <w:tab w:val="left" w:pos="284"/>
        </w:tabs>
        <w:spacing w:after="0" w:line="240" w:lineRule="auto"/>
        <w:jc w:val="both"/>
        <w:rPr>
          <w:rFonts w:ascii="Palatino Linotype" w:hAnsi="Palatino Linotype"/>
          <w:i/>
          <w:sz w:val="20"/>
          <w:szCs w:val="20"/>
        </w:rPr>
      </w:pPr>
    </w:p>
    <w:p w:rsidR="00887933" w:rsidRPr="00A552DE" w:rsidRDefault="00887933" w:rsidP="00887933">
      <w:pPr>
        <w:pStyle w:val="Prrafodelista"/>
        <w:spacing w:after="0" w:line="240" w:lineRule="auto"/>
        <w:ind w:left="709"/>
        <w:jc w:val="both"/>
        <w:rPr>
          <w:rFonts w:ascii="Palatino Linotype" w:hAnsi="Palatino Linotype"/>
          <w:i/>
          <w:sz w:val="20"/>
          <w:szCs w:val="20"/>
        </w:rPr>
      </w:pPr>
      <w:r w:rsidRPr="00A552DE">
        <w:rPr>
          <w:rFonts w:ascii="Palatino Linotype" w:hAnsi="Palatino Linotype"/>
          <w:i/>
          <w:sz w:val="20"/>
          <w:szCs w:val="20"/>
        </w:rPr>
        <w:t xml:space="preserve">“3.6.Se podrán </w:t>
      </w:r>
      <w:proofErr w:type="spellStart"/>
      <w:r w:rsidRPr="00A552DE">
        <w:rPr>
          <w:rFonts w:ascii="Palatino Linotype" w:hAnsi="Palatino Linotype"/>
          <w:i/>
          <w:sz w:val="20"/>
          <w:szCs w:val="20"/>
        </w:rPr>
        <w:t>reexpresar</w:t>
      </w:r>
      <w:proofErr w:type="spellEnd"/>
      <w:r w:rsidRPr="00A552DE">
        <w:rPr>
          <w:rFonts w:ascii="Palatino Linotype" w:hAnsi="Palatino Linotype"/>
          <w:i/>
          <w:sz w:val="20"/>
          <w:szCs w:val="20"/>
        </w:rPr>
        <w:t xml:space="preserve"> los activos (*), pasivos (*) y componentes del patrimonio neto con fecha de origen anterior al último proceso de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tomando como base las cifras </w:t>
      </w:r>
      <w:proofErr w:type="spellStart"/>
      <w:r w:rsidRPr="00A552DE">
        <w:rPr>
          <w:rFonts w:ascii="Palatino Linotype" w:hAnsi="Palatino Linotype"/>
          <w:i/>
          <w:sz w:val="20"/>
          <w:szCs w:val="20"/>
        </w:rPr>
        <w:t>reexpresadas</w:t>
      </w:r>
      <w:proofErr w:type="spellEnd"/>
      <w:r w:rsidRPr="00A552DE">
        <w:rPr>
          <w:rFonts w:ascii="Palatino Linotype" w:hAnsi="Palatino Linotype"/>
          <w:i/>
          <w:sz w:val="20"/>
          <w:szCs w:val="20"/>
        </w:rPr>
        <w:t xml:space="preserve"> previamente desde la última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realizada (febrero 2003, o setiembre de 2003).</w:t>
      </w:r>
    </w:p>
    <w:p w:rsidR="00887933" w:rsidRDefault="00887933" w:rsidP="00A552DE">
      <w:pPr>
        <w:pStyle w:val="Prrafodelista"/>
        <w:ind w:left="709"/>
        <w:jc w:val="both"/>
        <w:rPr>
          <w:rFonts w:ascii="Palatino Linotype" w:hAnsi="Palatino Linotype"/>
          <w:b/>
          <w:i/>
          <w:sz w:val="20"/>
          <w:szCs w:val="20"/>
        </w:rPr>
      </w:pPr>
      <w:r w:rsidRPr="00A552DE">
        <w:rPr>
          <w:rFonts w:ascii="Palatino Linotype" w:hAnsi="Palatino Linotype"/>
          <w:b/>
          <w:i/>
          <w:sz w:val="20"/>
          <w:szCs w:val="20"/>
        </w:rPr>
        <w:t xml:space="preserve">(*) Como se indica en el Punto </w:t>
      </w:r>
      <w:r w:rsidR="00A141FD">
        <w:rPr>
          <w:rFonts w:ascii="Palatino Linotype" w:hAnsi="Palatino Linotype"/>
          <w:b/>
          <w:i/>
          <w:sz w:val="20"/>
          <w:szCs w:val="20"/>
        </w:rPr>
        <w:t>8</w:t>
      </w:r>
      <w:r w:rsidRPr="00A552DE">
        <w:rPr>
          <w:rFonts w:ascii="Palatino Linotype" w:hAnsi="Palatino Linotype"/>
          <w:b/>
          <w:i/>
          <w:sz w:val="20"/>
          <w:szCs w:val="20"/>
        </w:rPr>
        <w:t xml:space="preserve">, los importes  de los activos, y en su caso pasivos, remedidos por aplicación de la RT N° 48 deben ser considerados expresados en moneda de poder adquisitivo del momento al que se refiere la remedición, a los efectos de su </w:t>
      </w:r>
      <w:proofErr w:type="spellStart"/>
      <w:r w:rsidRPr="00A552DE">
        <w:rPr>
          <w:rFonts w:ascii="Palatino Linotype" w:hAnsi="Palatino Linotype"/>
          <w:b/>
          <w:i/>
          <w:sz w:val="20"/>
          <w:szCs w:val="20"/>
        </w:rPr>
        <w:t>reexpresión</w:t>
      </w:r>
      <w:proofErr w:type="spellEnd"/>
      <w:r w:rsidRPr="00A552DE">
        <w:rPr>
          <w:rFonts w:ascii="Palatino Linotype" w:hAnsi="Palatino Linotype"/>
          <w:b/>
          <w:i/>
          <w:sz w:val="20"/>
          <w:szCs w:val="20"/>
        </w:rPr>
        <w:t xml:space="preserve"> desde ese momento y a partir de tales importes.</w:t>
      </w:r>
    </w:p>
    <w:p w:rsidR="00A552DE" w:rsidRPr="00A552DE" w:rsidRDefault="00A552DE" w:rsidP="00A552DE">
      <w:pPr>
        <w:pStyle w:val="Prrafodelista"/>
        <w:ind w:left="709"/>
        <w:jc w:val="both"/>
        <w:rPr>
          <w:rFonts w:ascii="Palatino Linotype" w:hAnsi="Palatino Linotype"/>
          <w:b/>
          <w:i/>
          <w:sz w:val="20"/>
          <w:szCs w:val="20"/>
        </w:rPr>
      </w:pP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5.4.</w:t>
      </w:r>
    </w:p>
    <w:p w:rsidR="00887933" w:rsidRPr="00A552DE" w:rsidRDefault="00887933" w:rsidP="00887933">
      <w:pPr>
        <w:pStyle w:val="Prrafodelista"/>
        <w:spacing w:after="0" w:line="240" w:lineRule="auto"/>
        <w:rPr>
          <w:rFonts w:ascii="Palatino Linotype" w:hAnsi="Palatino Linotype"/>
          <w:b/>
          <w:i/>
          <w:sz w:val="20"/>
          <w:szCs w:val="20"/>
        </w:rPr>
      </w:pPr>
    </w:p>
    <w:p w:rsidR="00887933" w:rsidRDefault="00887933" w:rsidP="00A552DE">
      <w:pPr>
        <w:ind w:left="709"/>
        <w:jc w:val="both"/>
        <w:rPr>
          <w:rFonts w:ascii="Palatino Linotype" w:hAnsi="Palatino Linotype"/>
          <w:i/>
          <w:sz w:val="20"/>
          <w:szCs w:val="20"/>
        </w:rPr>
      </w:pPr>
      <w:r w:rsidRPr="00A552DE">
        <w:rPr>
          <w:rFonts w:ascii="Palatino Linotype" w:hAnsi="Palatino Linotype"/>
          <w:i/>
          <w:sz w:val="20"/>
          <w:szCs w:val="20"/>
        </w:rPr>
        <w:t xml:space="preserve">“5.4.En los estados contables donde se realice el ajuste por inflación, el ente deberá dar cumplimiento a todos los requerimientos de notas incluidos en la RT N° 6 y de las normas que incluyan requerimientos de exposición e información a presentar relacionados con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de los estados contables en moneda homogénea, excepto cuando el ente hago uso de alguna opción de esta resolución que le permita no presentar determinada información (por ejemplo, no presentar información comparativa en determinadas situaciones).” </w:t>
      </w:r>
    </w:p>
    <w:p w:rsidR="003728AE" w:rsidRPr="00A552DE" w:rsidRDefault="003728AE" w:rsidP="00A552DE">
      <w:pPr>
        <w:ind w:left="709"/>
        <w:jc w:val="both"/>
        <w:rPr>
          <w:rFonts w:ascii="Palatino Linotype" w:hAnsi="Palatino Linotype"/>
          <w:i/>
          <w:sz w:val="20"/>
          <w:szCs w:val="20"/>
        </w:rPr>
      </w:pP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lastRenderedPageBreak/>
        <w:t>PUNTO 6.</w:t>
      </w:r>
    </w:p>
    <w:p w:rsidR="00887933" w:rsidRPr="00A552DE" w:rsidRDefault="00887933" w:rsidP="00887933">
      <w:pPr>
        <w:pStyle w:val="Prrafodelista"/>
        <w:spacing w:after="0" w:line="240" w:lineRule="auto"/>
        <w:rPr>
          <w:rFonts w:ascii="Palatino Linotype" w:hAnsi="Palatino Linotype"/>
          <w:b/>
          <w:i/>
          <w:sz w:val="20"/>
          <w:szCs w:val="20"/>
          <w:u w:val="single"/>
        </w:rPr>
      </w:pPr>
    </w:p>
    <w:p w:rsidR="00887933" w:rsidRPr="00A552DE" w:rsidRDefault="00887933" w:rsidP="00887933">
      <w:pPr>
        <w:ind w:left="709"/>
        <w:jc w:val="both"/>
        <w:rPr>
          <w:rFonts w:ascii="Palatino Linotype" w:hAnsi="Palatino Linotype"/>
          <w:b/>
          <w:i/>
          <w:sz w:val="20"/>
          <w:szCs w:val="20"/>
        </w:rPr>
      </w:pPr>
      <w:r w:rsidRPr="00A552DE">
        <w:rPr>
          <w:rFonts w:ascii="Palatino Linotype" w:hAnsi="Palatino Linotype"/>
          <w:b/>
          <w:i/>
          <w:sz w:val="20"/>
          <w:szCs w:val="20"/>
        </w:rPr>
        <w:t>“6. OPCI</w:t>
      </w:r>
      <w:r w:rsidR="00EE4491" w:rsidRPr="00A552DE">
        <w:rPr>
          <w:rFonts w:ascii="Palatino Linotype" w:hAnsi="Palatino Linotype"/>
          <w:b/>
          <w:i/>
          <w:sz w:val="20"/>
          <w:szCs w:val="20"/>
        </w:rPr>
        <w:t>Ó</w:t>
      </w:r>
      <w:r w:rsidRPr="00A552DE">
        <w:rPr>
          <w:rFonts w:ascii="Palatino Linotype" w:hAnsi="Palatino Linotype"/>
          <w:b/>
          <w:i/>
          <w:sz w:val="20"/>
          <w:szCs w:val="20"/>
        </w:rPr>
        <w:t>N EN RELACIÓN CON EL ESTADO DE FLUJO DE EFECTIVO PREPARADO POR EL MÉTODO DIRECTO”</w:t>
      </w: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6.1.</w:t>
      </w:r>
    </w:p>
    <w:p w:rsidR="00887933" w:rsidRPr="00A552DE" w:rsidRDefault="00887933" w:rsidP="00887933">
      <w:pPr>
        <w:pStyle w:val="Prrafodelista"/>
        <w:spacing w:after="0" w:line="240" w:lineRule="auto"/>
        <w:rPr>
          <w:rFonts w:ascii="Palatino Linotype" w:hAnsi="Palatino Linotype"/>
          <w:b/>
          <w:i/>
          <w:sz w:val="20"/>
          <w:szCs w:val="20"/>
        </w:rPr>
      </w:pPr>
    </w:p>
    <w:p w:rsidR="00887933" w:rsidRPr="00A552DE" w:rsidRDefault="00887933" w:rsidP="00887933">
      <w:pPr>
        <w:ind w:left="709"/>
        <w:jc w:val="both"/>
        <w:rPr>
          <w:rFonts w:ascii="Palatino Linotype" w:hAnsi="Palatino Linotype"/>
          <w:i/>
          <w:sz w:val="20"/>
          <w:szCs w:val="20"/>
        </w:rPr>
      </w:pPr>
      <w:r w:rsidRPr="00A552DE">
        <w:rPr>
          <w:rFonts w:ascii="Palatino Linotype" w:hAnsi="Palatino Linotype"/>
          <w:i/>
          <w:sz w:val="20"/>
          <w:szCs w:val="20"/>
        </w:rPr>
        <w:t xml:space="preserve">“6.1.Todos los entes, excepto los que apliquen conjuntamente la RT N° 17 con la RT N° 11, o la RT N° 17 con la RT N° 24, cuando preparen el estado de flujo de efectivo por el método directo, podrán presentar la información ajustada por inflación en forma sintética, con los renglones mínimos siguientes: </w:t>
      </w:r>
    </w:p>
    <w:p w:rsidR="00887933" w:rsidRPr="00A552DE" w:rsidRDefault="00887933" w:rsidP="00887933">
      <w:pPr>
        <w:pStyle w:val="Prrafodelista"/>
        <w:numPr>
          <w:ilvl w:val="0"/>
          <w:numId w:val="9"/>
        </w:numPr>
        <w:spacing w:after="0" w:line="240" w:lineRule="auto"/>
        <w:ind w:left="1418" w:hanging="284"/>
        <w:jc w:val="both"/>
        <w:rPr>
          <w:rFonts w:ascii="Palatino Linotype" w:hAnsi="Palatino Linotype"/>
          <w:i/>
          <w:sz w:val="20"/>
          <w:szCs w:val="20"/>
        </w:rPr>
      </w:pPr>
      <w:r w:rsidRPr="00A552DE">
        <w:rPr>
          <w:rFonts w:ascii="Palatino Linotype" w:hAnsi="Palatino Linotype"/>
          <w:i/>
          <w:sz w:val="20"/>
          <w:szCs w:val="20"/>
        </w:rPr>
        <w:t xml:space="preserve">saldo al inicio; </w:t>
      </w:r>
    </w:p>
    <w:p w:rsidR="00887933" w:rsidRPr="00A552DE" w:rsidRDefault="00887933" w:rsidP="00887933">
      <w:pPr>
        <w:pStyle w:val="Prrafodelista"/>
        <w:ind w:left="1418" w:hanging="284"/>
        <w:jc w:val="both"/>
        <w:rPr>
          <w:rFonts w:ascii="Palatino Linotype" w:hAnsi="Palatino Linotype"/>
          <w:i/>
          <w:sz w:val="20"/>
          <w:szCs w:val="20"/>
        </w:rPr>
      </w:pPr>
    </w:p>
    <w:p w:rsidR="00887933" w:rsidRPr="00A552DE" w:rsidRDefault="00887933" w:rsidP="00887933">
      <w:pPr>
        <w:pStyle w:val="Prrafodelista"/>
        <w:numPr>
          <w:ilvl w:val="0"/>
          <w:numId w:val="9"/>
        </w:numPr>
        <w:spacing w:after="0" w:line="240" w:lineRule="auto"/>
        <w:ind w:left="1418" w:hanging="284"/>
        <w:jc w:val="both"/>
        <w:rPr>
          <w:rFonts w:ascii="Palatino Linotype" w:hAnsi="Palatino Linotype"/>
          <w:i/>
          <w:sz w:val="20"/>
          <w:szCs w:val="20"/>
        </w:rPr>
      </w:pPr>
      <w:r w:rsidRPr="00A552DE">
        <w:rPr>
          <w:rFonts w:ascii="Palatino Linotype" w:hAnsi="Palatino Linotype"/>
          <w:i/>
          <w:sz w:val="20"/>
          <w:szCs w:val="20"/>
        </w:rPr>
        <w:t>saldo al cierre;</w:t>
      </w:r>
    </w:p>
    <w:p w:rsidR="00887933" w:rsidRPr="00A552DE" w:rsidRDefault="00887933" w:rsidP="00887933">
      <w:pPr>
        <w:spacing w:after="0" w:line="240" w:lineRule="auto"/>
        <w:ind w:left="1418" w:hanging="284"/>
        <w:jc w:val="both"/>
        <w:rPr>
          <w:rFonts w:ascii="Palatino Linotype" w:hAnsi="Palatino Linotype"/>
          <w:i/>
          <w:sz w:val="20"/>
          <w:szCs w:val="20"/>
        </w:rPr>
      </w:pPr>
    </w:p>
    <w:p w:rsidR="00887933" w:rsidRPr="00A552DE" w:rsidRDefault="00887933" w:rsidP="00887933">
      <w:pPr>
        <w:pStyle w:val="Prrafodelista"/>
        <w:numPr>
          <w:ilvl w:val="0"/>
          <w:numId w:val="9"/>
        </w:numPr>
        <w:spacing w:after="0" w:line="240" w:lineRule="auto"/>
        <w:ind w:left="1418" w:hanging="284"/>
        <w:jc w:val="both"/>
        <w:rPr>
          <w:rFonts w:ascii="Palatino Linotype" w:hAnsi="Palatino Linotype"/>
          <w:i/>
          <w:sz w:val="20"/>
          <w:szCs w:val="20"/>
        </w:rPr>
      </w:pPr>
      <w:r w:rsidRPr="00A552DE">
        <w:rPr>
          <w:rFonts w:ascii="Palatino Linotype" w:hAnsi="Palatino Linotype"/>
          <w:i/>
          <w:sz w:val="20"/>
          <w:szCs w:val="20"/>
        </w:rPr>
        <w:t xml:space="preserve">variación en el ejercicio; y </w:t>
      </w:r>
    </w:p>
    <w:p w:rsidR="00887933" w:rsidRPr="00A552DE" w:rsidRDefault="00887933" w:rsidP="00887933">
      <w:pPr>
        <w:spacing w:after="0" w:line="240" w:lineRule="auto"/>
        <w:ind w:left="1418" w:hanging="284"/>
        <w:jc w:val="both"/>
        <w:rPr>
          <w:rFonts w:ascii="Palatino Linotype" w:hAnsi="Palatino Linotype"/>
          <w:i/>
          <w:sz w:val="20"/>
          <w:szCs w:val="20"/>
        </w:rPr>
      </w:pPr>
    </w:p>
    <w:p w:rsidR="00887933" w:rsidRPr="00A552DE" w:rsidRDefault="00887933" w:rsidP="00887933">
      <w:pPr>
        <w:pStyle w:val="Prrafodelista"/>
        <w:numPr>
          <w:ilvl w:val="0"/>
          <w:numId w:val="9"/>
        </w:numPr>
        <w:spacing w:after="0" w:line="240" w:lineRule="auto"/>
        <w:ind w:left="1418" w:hanging="284"/>
        <w:jc w:val="both"/>
        <w:rPr>
          <w:rFonts w:ascii="Palatino Linotype" w:hAnsi="Palatino Linotype"/>
          <w:i/>
          <w:sz w:val="20"/>
          <w:szCs w:val="20"/>
        </w:rPr>
      </w:pPr>
      <w:r w:rsidRPr="00A552DE">
        <w:rPr>
          <w:rFonts w:ascii="Palatino Linotype" w:hAnsi="Palatino Linotype"/>
          <w:i/>
          <w:sz w:val="20"/>
          <w:szCs w:val="20"/>
        </w:rPr>
        <w:t>explicación de las causas a nivel de totales (operativas, financiación, inversión).”</w:t>
      </w:r>
    </w:p>
    <w:p w:rsidR="00887933" w:rsidRPr="00A552DE" w:rsidRDefault="00887933" w:rsidP="00887933">
      <w:pPr>
        <w:pStyle w:val="Prrafodelista"/>
        <w:spacing w:after="0" w:line="240" w:lineRule="auto"/>
        <w:rPr>
          <w:rFonts w:ascii="Palatino Linotype" w:hAnsi="Palatino Linotype"/>
          <w:b/>
          <w:i/>
          <w:sz w:val="20"/>
          <w:szCs w:val="20"/>
        </w:rPr>
      </w:pP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7.</w:t>
      </w:r>
    </w:p>
    <w:p w:rsidR="00887933" w:rsidRPr="00A552DE" w:rsidRDefault="00887933" w:rsidP="00887933">
      <w:pPr>
        <w:pStyle w:val="Prrafodelista"/>
        <w:spacing w:after="0" w:line="240" w:lineRule="auto"/>
        <w:rPr>
          <w:rFonts w:ascii="Palatino Linotype" w:hAnsi="Palatino Linotype"/>
          <w:b/>
          <w:i/>
          <w:sz w:val="20"/>
          <w:szCs w:val="20"/>
          <w:u w:val="single"/>
        </w:rPr>
      </w:pPr>
    </w:p>
    <w:p w:rsidR="00887933" w:rsidRPr="00A552DE" w:rsidRDefault="00887933" w:rsidP="00887933">
      <w:pPr>
        <w:ind w:left="709"/>
        <w:jc w:val="both"/>
        <w:rPr>
          <w:rFonts w:ascii="Palatino Linotype" w:hAnsi="Palatino Linotype"/>
          <w:b/>
          <w:i/>
          <w:sz w:val="20"/>
          <w:szCs w:val="20"/>
        </w:rPr>
      </w:pPr>
      <w:r w:rsidRPr="00A552DE">
        <w:rPr>
          <w:rFonts w:ascii="Palatino Linotype" w:hAnsi="Palatino Linotype"/>
          <w:b/>
          <w:i/>
          <w:sz w:val="20"/>
          <w:szCs w:val="20"/>
        </w:rPr>
        <w:t>“7. ENTES PEQUEÑOS Y MEDIANOS: OPCI</w:t>
      </w:r>
      <w:r w:rsidR="00EE4491" w:rsidRPr="00A552DE">
        <w:rPr>
          <w:rFonts w:ascii="Palatino Linotype" w:hAnsi="Palatino Linotype"/>
          <w:b/>
          <w:i/>
          <w:sz w:val="20"/>
          <w:szCs w:val="20"/>
        </w:rPr>
        <w:t>Ó</w:t>
      </w:r>
      <w:r w:rsidRPr="00A552DE">
        <w:rPr>
          <w:rFonts w:ascii="Palatino Linotype" w:hAnsi="Palatino Linotype"/>
          <w:b/>
          <w:i/>
          <w:sz w:val="20"/>
          <w:szCs w:val="20"/>
        </w:rPr>
        <w:t>N DE REALIZAR EL AJUSTE GLOBAL DEL RESULTADO DEL PERÍODO/EJERCICIO.”</w:t>
      </w:r>
    </w:p>
    <w:p w:rsidR="00887933" w:rsidRPr="00A552DE" w:rsidRDefault="00887933" w:rsidP="00887933">
      <w:pPr>
        <w:pStyle w:val="Prrafodelista"/>
        <w:numPr>
          <w:ilvl w:val="0"/>
          <w:numId w:val="10"/>
        </w:numPr>
        <w:spacing w:after="0" w:line="240" w:lineRule="auto"/>
        <w:rPr>
          <w:rFonts w:ascii="Palatino Linotype" w:hAnsi="Palatino Linotype"/>
          <w:b/>
          <w:i/>
          <w:sz w:val="20"/>
          <w:szCs w:val="20"/>
          <w:u w:val="single"/>
        </w:rPr>
      </w:pPr>
      <w:r w:rsidRPr="00A552DE">
        <w:rPr>
          <w:rFonts w:ascii="Palatino Linotype" w:hAnsi="Palatino Linotype"/>
          <w:b/>
          <w:i/>
          <w:sz w:val="20"/>
          <w:szCs w:val="20"/>
          <w:u w:val="single"/>
        </w:rPr>
        <w:t>PUNTO 7.1.</w:t>
      </w:r>
    </w:p>
    <w:p w:rsidR="00887933" w:rsidRPr="00A552DE" w:rsidRDefault="00887933" w:rsidP="00887933">
      <w:pPr>
        <w:pStyle w:val="Prrafodelista"/>
        <w:spacing w:after="0" w:line="240" w:lineRule="auto"/>
        <w:rPr>
          <w:rFonts w:ascii="Palatino Linotype" w:hAnsi="Palatino Linotype"/>
          <w:b/>
          <w:i/>
          <w:sz w:val="20"/>
          <w:szCs w:val="20"/>
          <w:u w:val="single"/>
        </w:rPr>
      </w:pPr>
    </w:p>
    <w:p w:rsidR="00887933" w:rsidRDefault="00887933" w:rsidP="00A552DE">
      <w:pPr>
        <w:ind w:left="709"/>
        <w:jc w:val="both"/>
        <w:rPr>
          <w:rFonts w:ascii="Palatino Linotype" w:hAnsi="Palatino Linotype"/>
          <w:i/>
          <w:iCs/>
          <w:sz w:val="20"/>
          <w:szCs w:val="20"/>
        </w:rPr>
      </w:pPr>
      <w:r w:rsidRPr="00A552DE">
        <w:rPr>
          <w:rFonts w:ascii="Palatino Linotype" w:hAnsi="Palatino Linotype"/>
          <w:i/>
          <w:sz w:val="20"/>
          <w:szCs w:val="20"/>
        </w:rPr>
        <w:t xml:space="preserve">“7.1.  Los Entes Pequeños y los Entes Medianos podrán </w:t>
      </w:r>
      <w:r w:rsidRPr="00A552DE">
        <w:rPr>
          <w:rFonts w:ascii="Palatino Linotype" w:hAnsi="Palatino Linotype"/>
          <w:i/>
          <w:iCs/>
          <w:sz w:val="20"/>
          <w:szCs w:val="20"/>
        </w:rPr>
        <w:t xml:space="preserve">efectuar la </w:t>
      </w:r>
      <w:proofErr w:type="spellStart"/>
      <w:r w:rsidRPr="00A552DE">
        <w:rPr>
          <w:rFonts w:ascii="Palatino Linotype" w:hAnsi="Palatino Linotype"/>
          <w:i/>
          <w:iCs/>
          <w:sz w:val="20"/>
          <w:szCs w:val="20"/>
        </w:rPr>
        <w:t>reexpresión</w:t>
      </w:r>
      <w:proofErr w:type="spellEnd"/>
      <w:r w:rsidRPr="00A552DE">
        <w:rPr>
          <w:rFonts w:ascii="Palatino Linotype" w:hAnsi="Palatino Linotype"/>
          <w:i/>
          <w:iCs/>
          <w:sz w:val="20"/>
          <w:szCs w:val="20"/>
        </w:rPr>
        <w:t xml:space="preserve"> del estado de resultados mediante la inclusión de una sola partida cuyo importe se determine por diferencia entre el resultado del período </w:t>
      </w:r>
      <w:proofErr w:type="spellStart"/>
      <w:r w:rsidRPr="00A552DE">
        <w:rPr>
          <w:rFonts w:ascii="Palatino Linotype" w:hAnsi="Palatino Linotype"/>
          <w:i/>
          <w:iCs/>
          <w:sz w:val="20"/>
          <w:szCs w:val="20"/>
        </w:rPr>
        <w:t>reexpresado</w:t>
      </w:r>
      <w:proofErr w:type="spellEnd"/>
      <w:r w:rsidRPr="00A552DE">
        <w:rPr>
          <w:rFonts w:ascii="Palatino Linotype" w:hAnsi="Palatino Linotype"/>
          <w:i/>
          <w:iCs/>
          <w:sz w:val="20"/>
          <w:szCs w:val="20"/>
        </w:rPr>
        <w:t xml:space="preserve"> en moneda de cierre y dicho resultado surgido del estado de resultados sin </w:t>
      </w:r>
      <w:proofErr w:type="spellStart"/>
      <w:r w:rsidRPr="00A552DE">
        <w:rPr>
          <w:rFonts w:ascii="Palatino Linotype" w:hAnsi="Palatino Linotype"/>
          <w:i/>
          <w:iCs/>
          <w:sz w:val="20"/>
          <w:szCs w:val="20"/>
        </w:rPr>
        <w:t>reexpresar</w:t>
      </w:r>
      <w:proofErr w:type="spellEnd"/>
      <w:r w:rsidRPr="00A552DE">
        <w:rPr>
          <w:rFonts w:ascii="Palatino Linotype" w:hAnsi="Palatino Linotype"/>
          <w:i/>
          <w:iCs/>
          <w:sz w:val="20"/>
          <w:szCs w:val="20"/>
        </w:rPr>
        <w:t>; denominándose la partida “Ajuste Global del resultado del período (o ejercicio)”. Si se aplica esta simplificación el auditor que dictamina sobre los estados contables deberá incluir en su informe un Párrafo de Énfasis indicando el efecto que su utilización produce.”</w:t>
      </w:r>
    </w:p>
    <w:p w:rsidR="003728AE" w:rsidRDefault="003728AE" w:rsidP="00A552DE">
      <w:pPr>
        <w:ind w:left="709"/>
        <w:jc w:val="both"/>
        <w:rPr>
          <w:rFonts w:ascii="Palatino Linotype" w:hAnsi="Palatino Linotype"/>
          <w:i/>
          <w:iCs/>
          <w:sz w:val="20"/>
          <w:szCs w:val="20"/>
        </w:rPr>
      </w:pPr>
    </w:p>
    <w:p w:rsidR="003728AE" w:rsidRDefault="003728AE" w:rsidP="00A552DE">
      <w:pPr>
        <w:ind w:left="709"/>
        <w:jc w:val="both"/>
        <w:rPr>
          <w:rFonts w:ascii="Palatino Linotype" w:hAnsi="Palatino Linotype"/>
          <w:i/>
          <w:iCs/>
          <w:sz w:val="20"/>
          <w:szCs w:val="20"/>
        </w:rPr>
      </w:pPr>
    </w:p>
    <w:p w:rsidR="003728AE" w:rsidRPr="00A552DE" w:rsidRDefault="003728AE" w:rsidP="00A552DE">
      <w:pPr>
        <w:ind w:left="709"/>
        <w:jc w:val="both"/>
        <w:rPr>
          <w:rFonts w:ascii="Palatino Linotype" w:hAnsi="Palatino Linotype"/>
          <w:i/>
          <w:iCs/>
          <w:sz w:val="20"/>
          <w:szCs w:val="20"/>
        </w:rPr>
      </w:pPr>
    </w:p>
    <w:p w:rsidR="00887933" w:rsidRDefault="00887933" w:rsidP="00887933">
      <w:pPr>
        <w:pStyle w:val="Prrafodelista"/>
        <w:numPr>
          <w:ilvl w:val="0"/>
          <w:numId w:val="16"/>
        </w:numPr>
        <w:spacing w:after="0" w:line="240" w:lineRule="auto"/>
        <w:ind w:left="0" w:firstLine="0"/>
        <w:rPr>
          <w:rFonts w:ascii="Palatino Linotype" w:hAnsi="Palatino Linotype"/>
          <w:b/>
          <w:i/>
          <w:sz w:val="20"/>
          <w:szCs w:val="20"/>
        </w:rPr>
      </w:pPr>
      <w:r w:rsidRPr="00A552DE">
        <w:rPr>
          <w:rFonts w:ascii="Palatino Linotype" w:hAnsi="Palatino Linotype"/>
          <w:b/>
          <w:i/>
          <w:sz w:val="20"/>
          <w:szCs w:val="20"/>
        </w:rPr>
        <w:lastRenderedPageBreak/>
        <w:t xml:space="preserve"> Incorporar los Puntos  3.4.A., 3.4.B</w:t>
      </w:r>
      <w:proofErr w:type="gramStart"/>
      <w:r w:rsidRPr="00A552DE">
        <w:rPr>
          <w:rFonts w:ascii="Palatino Linotype" w:hAnsi="Palatino Linotype"/>
          <w:b/>
          <w:i/>
          <w:sz w:val="20"/>
          <w:szCs w:val="20"/>
        </w:rPr>
        <w:t xml:space="preserve">. </w:t>
      </w:r>
      <w:r w:rsidR="00754E52">
        <w:rPr>
          <w:rFonts w:ascii="Palatino Linotype" w:hAnsi="Palatino Linotype"/>
          <w:b/>
          <w:i/>
          <w:sz w:val="20"/>
          <w:szCs w:val="20"/>
        </w:rPr>
        <w:t>,</w:t>
      </w:r>
      <w:proofErr w:type="gramEnd"/>
      <w:r w:rsidRPr="00A552DE">
        <w:rPr>
          <w:rFonts w:ascii="Palatino Linotype" w:hAnsi="Palatino Linotype"/>
          <w:b/>
          <w:i/>
          <w:sz w:val="20"/>
          <w:szCs w:val="20"/>
        </w:rPr>
        <w:t xml:space="preserve"> 3.8.A  </w:t>
      </w:r>
      <w:r w:rsidR="00754E52">
        <w:rPr>
          <w:rFonts w:ascii="Palatino Linotype" w:hAnsi="Palatino Linotype"/>
          <w:b/>
          <w:i/>
          <w:sz w:val="20"/>
          <w:szCs w:val="20"/>
        </w:rPr>
        <w:t xml:space="preserve">y 7.2. </w:t>
      </w:r>
      <w:r w:rsidRPr="00A552DE">
        <w:rPr>
          <w:rFonts w:ascii="Palatino Linotype" w:hAnsi="Palatino Linotype"/>
          <w:b/>
          <w:i/>
          <w:sz w:val="20"/>
          <w:szCs w:val="20"/>
        </w:rPr>
        <w:t>en  el Anexo de la Resolución MD N° 2883, con el  siguiente texto:</w:t>
      </w:r>
    </w:p>
    <w:p w:rsidR="00A552DE" w:rsidRPr="00A552DE" w:rsidRDefault="00A552DE" w:rsidP="00A552DE">
      <w:pPr>
        <w:pStyle w:val="Prrafodelista"/>
        <w:spacing w:after="0" w:line="240" w:lineRule="auto"/>
        <w:ind w:left="0"/>
        <w:rPr>
          <w:rFonts w:ascii="Palatino Linotype" w:hAnsi="Palatino Linotype"/>
          <w:b/>
          <w:i/>
          <w:sz w:val="20"/>
          <w:szCs w:val="20"/>
        </w:rPr>
      </w:pPr>
    </w:p>
    <w:p w:rsidR="00887933" w:rsidRPr="00A552DE" w:rsidRDefault="00887933" w:rsidP="00887933">
      <w:pPr>
        <w:pStyle w:val="Prrafodelista"/>
        <w:numPr>
          <w:ilvl w:val="0"/>
          <w:numId w:val="10"/>
        </w:numPr>
        <w:rPr>
          <w:rFonts w:ascii="Palatino Linotype" w:hAnsi="Palatino Linotype"/>
          <w:b/>
          <w:i/>
          <w:sz w:val="20"/>
          <w:szCs w:val="20"/>
          <w:u w:val="single"/>
        </w:rPr>
      </w:pPr>
      <w:r w:rsidRPr="00A552DE">
        <w:rPr>
          <w:rFonts w:ascii="Palatino Linotype" w:hAnsi="Palatino Linotype"/>
          <w:b/>
          <w:i/>
          <w:sz w:val="20"/>
          <w:szCs w:val="20"/>
          <w:u w:val="single"/>
        </w:rPr>
        <w:t>PUNTO 3.4.A.</w:t>
      </w:r>
    </w:p>
    <w:p w:rsidR="00887933" w:rsidRPr="00A552DE" w:rsidRDefault="00887933" w:rsidP="00887933">
      <w:pPr>
        <w:pStyle w:val="Prrafodelista"/>
        <w:rPr>
          <w:rFonts w:ascii="Palatino Linotype" w:hAnsi="Palatino Linotype"/>
          <w:i/>
          <w:sz w:val="20"/>
          <w:szCs w:val="20"/>
        </w:rPr>
      </w:pPr>
    </w:p>
    <w:p w:rsidR="00887933" w:rsidRPr="00A552DE" w:rsidRDefault="00887933" w:rsidP="00887933">
      <w:pPr>
        <w:pStyle w:val="Prrafodelista"/>
        <w:spacing w:after="0" w:line="240" w:lineRule="auto"/>
        <w:ind w:left="709"/>
        <w:jc w:val="both"/>
        <w:rPr>
          <w:rFonts w:ascii="Palatino Linotype" w:hAnsi="Palatino Linotype"/>
          <w:i/>
          <w:sz w:val="20"/>
          <w:szCs w:val="20"/>
        </w:rPr>
      </w:pPr>
      <w:r w:rsidRPr="00A552DE">
        <w:rPr>
          <w:rFonts w:ascii="Palatino Linotype" w:hAnsi="Palatino Linotype"/>
          <w:i/>
          <w:sz w:val="20"/>
          <w:szCs w:val="20"/>
        </w:rPr>
        <w:t>“3.4.A. La opción que un ente podrá utilizar de acuerdo con esta sección alcanza tanto a los estados contables correspondientes al primer ejercicio en el cual e</w:t>
      </w:r>
      <w:r w:rsidR="00EE4491" w:rsidRPr="00A552DE">
        <w:rPr>
          <w:rFonts w:ascii="Palatino Linotype" w:hAnsi="Palatino Linotype"/>
          <w:i/>
          <w:sz w:val="20"/>
          <w:szCs w:val="20"/>
        </w:rPr>
        <w:t>l</w:t>
      </w:r>
      <w:r w:rsidRPr="00A552DE">
        <w:rPr>
          <w:rFonts w:ascii="Palatino Linotype" w:hAnsi="Palatino Linotype"/>
          <w:i/>
          <w:sz w:val="20"/>
          <w:szCs w:val="20"/>
        </w:rPr>
        <w:t xml:space="preserve"> ente aplique la </w:t>
      </w:r>
      <w:r w:rsidR="00EE4491" w:rsidRPr="00A552DE">
        <w:rPr>
          <w:rFonts w:ascii="Palatino Linotype" w:hAnsi="Palatino Linotype"/>
          <w:i/>
          <w:sz w:val="20"/>
          <w:szCs w:val="20"/>
        </w:rPr>
        <w:t>R</w:t>
      </w:r>
      <w:r w:rsidRPr="00A552DE">
        <w:rPr>
          <w:rFonts w:ascii="Palatino Linotype" w:hAnsi="Palatino Linotype"/>
          <w:i/>
          <w:sz w:val="20"/>
          <w:szCs w:val="20"/>
        </w:rPr>
        <w:t>T N° 6, como a todos los períodos intermedios comprendidos en ese ejercicio.”</w:t>
      </w:r>
    </w:p>
    <w:p w:rsidR="00887933" w:rsidRPr="00A552DE" w:rsidRDefault="00887933" w:rsidP="00887933">
      <w:pPr>
        <w:pStyle w:val="Prrafodelista"/>
        <w:spacing w:after="0" w:line="240" w:lineRule="auto"/>
        <w:ind w:left="709" w:hanging="709"/>
        <w:jc w:val="both"/>
        <w:rPr>
          <w:rFonts w:ascii="Palatino Linotype" w:hAnsi="Palatino Linotype"/>
          <w:i/>
          <w:sz w:val="20"/>
          <w:szCs w:val="20"/>
        </w:rPr>
      </w:pPr>
    </w:p>
    <w:p w:rsidR="00887933" w:rsidRPr="00A552DE" w:rsidRDefault="00887933" w:rsidP="00887933">
      <w:pPr>
        <w:pStyle w:val="Prrafodelista"/>
        <w:numPr>
          <w:ilvl w:val="0"/>
          <w:numId w:val="10"/>
        </w:numPr>
        <w:rPr>
          <w:rFonts w:ascii="Palatino Linotype" w:hAnsi="Palatino Linotype"/>
          <w:b/>
          <w:i/>
          <w:sz w:val="20"/>
          <w:szCs w:val="20"/>
          <w:u w:val="single"/>
        </w:rPr>
      </w:pPr>
      <w:r w:rsidRPr="00A552DE">
        <w:rPr>
          <w:rFonts w:ascii="Palatino Linotype" w:hAnsi="Palatino Linotype"/>
          <w:b/>
          <w:i/>
          <w:sz w:val="20"/>
          <w:szCs w:val="20"/>
          <w:u w:val="single"/>
        </w:rPr>
        <w:t>PUNTO 3.4.B.</w:t>
      </w:r>
    </w:p>
    <w:p w:rsidR="00887933" w:rsidRPr="00A552DE" w:rsidRDefault="00887933" w:rsidP="00887933">
      <w:pPr>
        <w:pStyle w:val="Prrafodelista"/>
        <w:spacing w:after="0" w:line="240" w:lineRule="auto"/>
        <w:ind w:left="709" w:hanging="709"/>
        <w:jc w:val="both"/>
        <w:rPr>
          <w:rFonts w:ascii="Palatino Linotype" w:hAnsi="Palatino Linotype"/>
          <w:i/>
          <w:sz w:val="20"/>
          <w:szCs w:val="20"/>
        </w:rPr>
      </w:pPr>
    </w:p>
    <w:p w:rsidR="00887933" w:rsidRPr="00A552DE" w:rsidRDefault="00887933" w:rsidP="00887933">
      <w:pPr>
        <w:pStyle w:val="Prrafodelista"/>
        <w:spacing w:after="0" w:line="240" w:lineRule="auto"/>
        <w:ind w:left="709"/>
        <w:jc w:val="both"/>
        <w:rPr>
          <w:rFonts w:ascii="Palatino Linotype" w:hAnsi="Palatino Linotype"/>
          <w:i/>
          <w:sz w:val="20"/>
          <w:szCs w:val="20"/>
        </w:rPr>
      </w:pPr>
      <w:r w:rsidRPr="00A552DE">
        <w:rPr>
          <w:rFonts w:ascii="Palatino Linotype" w:hAnsi="Palatino Linotype"/>
          <w:i/>
          <w:sz w:val="20"/>
          <w:szCs w:val="20"/>
        </w:rPr>
        <w:t xml:space="preserve">“3.4.B.  En un período intermedio posterior (posterior </w:t>
      </w:r>
      <w:r w:rsidR="00197DC4">
        <w:rPr>
          <w:rFonts w:ascii="Palatino Linotype" w:hAnsi="Palatino Linotype"/>
          <w:i/>
          <w:sz w:val="20"/>
          <w:szCs w:val="20"/>
        </w:rPr>
        <w:t>a</w:t>
      </w:r>
      <w:r w:rsidRPr="00A552DE">
        <w:rPr>
          <w:rFonts w:ascii="Palatino Linotype" w:hAnsi="Palatino Linotype"/>
          <w:i/>
          <w:sz w:val="20"/>
          <w:szCs w:val="20"/>
        </w:rPr>
        <w:t>l primer ejercicio en el cual el ente aplicó por primera vez el ajuste de la RT N° 6) no se requiere la presentación de información comparativa del período equivalente cuando, por aplicación de esta resolución, el ente no hubiera aplicado el ajuste por inflación sobre los estados contables de ese período intermedio equivalente.”</w:t>
      </w:r>
    </w:p>
    <w:p w:rsidR="00887933" w:rsidRPr="00A552DE" w:rsidRDefault="00887933" w:rsidP="00887933">
      <w:pPr>
        <w:pStyle w:val="Prrafodelista"/>
        <w:spacing w:after="0" w:line="240" w:lineRule="auto"/>
        <w:ind w:left="709" w:hanging="709"/>
        <w:jc w:val="both"/>
        <w:rPr>
          <w:rFonts w:ascii="Palatino Linotype" w:hAnsi="Palatino Linotype"/>
          <w:i/>
          <w:sz w:val="20"/>
          <w:szCs w:val="20"/>
        </w:rPr>
      </w:pPr>
    </w:p>
    <w:p w:rsidR="00887933" w:rsidRPr="00A552DE" w:rsidRDefault="00887933" w:rsidP="00887933">
      <w:pPr>
        <w:pStyle w:val="Prrafodelista"/>
        <w:numPr>
          <w:ilvl w:val="0"/>
          <w:numId w:val="10"/>
        </w:numPr>
        <w:rPr>
          <w:rFonts w:ascii="Palatino Linotype" w:hAnsi="Palatino Linotype"/>
          <w:b/>
          <w:i/>
          <w:sz w:val="20"/>
          <w:szCs w:val="20"/>
          <w:u w:val="single"/>
        </w:rPr>
      </w:pPr>
      <w:r w:rsidRPr="00A552DE">
        <w:rPr>
          <w:rFonts w:ascii="Palatino Linotype" w:hAnsi="Palatino Linotype"/>
          <w:b/>
          <w:i/>
          <w:sz w:val="20"/>
          <w:szCs w:val="20"/>
          <w:u w:val="single"/>
        </w:rPr>
        <w:t>PUNTO 3.8.A.</w:t>
      </w:r>
    </w:p>
    <w:p w:rsidR="00887933" w:rsidRPr="00A552DE" w:rsidRDefault="00887933" w:rsidP="00887933">
      <w:pPr>
        <w:pStyle w:val="Prrafodelista"/>
        <w:rPr>
          <w:rFonts w:ascii="Palatino Linotype" w:hAnsi="Palatino Linotype"/>
          <w:b/>
          <w:i/>
          <w:sz w:val="20"/>
          <w:szCs w:val="20"/>
          <w:u w:val="single"/>
        </w:rPr>
      </w:pPr>
    </w:p>
    <w:p w:rsidR="00887933" w:rsidRPr="00A552DE" w:rsidRDefault="00887933" w:rsidP="00887933">
      <w:pPr>
        <w:pStyle w:val="Prrafodelista"/>
        <w:spacing w:after="0" w:line="240" w:lineRule="auto"/>
        <w:ind w:left="709"/>
        <w:jc w:val="both"/>
        <w:rPr>
          <w:rFonts w:ascii="Palatino Linotype" w:hAnsi="Palatino Linotype"/>
          <w:i/>
          <w:sz w:val="20"/>
          <w:szCs w:val="20"/>
        </w:rPr>
      </w:pPr>
      <w:r w:rsidRPr="00A552DE">
        <w:rPr>
          <w:rFonts w:ascii="Palatino Linotype" w:hAnsi="Palatino Linotype"/>
          <w:i/>
          <w:sz w:val="20"/>
          <w:szCs w:val="20"/>
        </w:rPr>
        <w:t xml:space="preserve">“3.8.A.  La alternativa planteada en el punto 2.2. </w:t>
      </w:r>
      <w:proofErr w:type="gramStart"/>
      <w:r w:rsidRPr="00A552DE">
        <w:rPr>
          <w:rFonts w:ascii="Palatino Linotype" w:hAnsi="Palatino Linotype"/>
          <w:i/>
          <w:sz w:val="20"/>
          <w:szCs w:val="20"/>
        </w:rPr>
        <w:t>del</w:t>
      </w:r>
      <w:proofErr w:type="gramEnd"/>
      <w:r w:rsidRPr="00A552DE">
        <w:rPr>
          <w:rFonts w:ascii="Palatino Linotype" w:hAnsi="Palatino Linotype"/>
          <w:i/>
          <w:sz w:val="20"/>
          <w:szCs w:val="20"/>
        </w:rPr>
        <w:t xml:space="preserve"> Anexo III de la RT N° 41 (“no presenta</w:t>
      </w:r>
      <w:r w:rsidR="00EE4491" w:rsidRPr="00A552DE">
        <w:rPr>
          <w:rFonts w:ascii="Palatino Linotype" w:hAnsi="Palatino Linotype"/>
          <w:i/>
          <w:sz w:val="20"/>
          <w:szCs w:val="20"/>
        </w:rPr>
        <w:t>r</w:t>
      </w:r>
      <w:r w:rsidRPr="00A552DE">
        <w:rPr>
          <w:rFonts w:ascii="Palatino Linotype" w:hAnsi="Palatino Linotype"/>
          <w:i/>
          <w:sz w:val="20"/>
          <w:szCs w:val="20"/>
        </w:rPr>
        <w:t xml:space="preserve"> el requerimiento del inciso a) de la sección C.7. –Impuesto a las ganancias- del Capítulo VI –Información complementaria- de la RT N° 9”) podrá ser utilizada por todos los entes.”</w:t>
      </w:r>
    </w:p>
    <w:p w:rsidR="00887933" w:rsidRPr="00A552DE" w:rsidRDefault="00887933" w:rsidP="00887933">
      <w:pPr>
        <w:pStyle w:val="Prrafodelista"/>
        <w:spacing w:after="0" w:line="240" w:lineRule="auto"/>
        <w:ind w:left="709"/>
        <w:jc w:val="both"/>
        <w:rPr>
          <w:rFonts w:ascii="Palatino Linotype" w:hAnsi="Palatino Linotype"/>
          <w:i/>
          <w:sz w:val="20"/>
          <w:szCs w:val="20"/>
        </w:rPr>
      </w:pPr>
    </w:p>
    <w:p w:rsidR="00887933" w:rsidRPr="00A552DE" w:rsidRDefault="00887933" w:rsidP="00887933">
      <w:pPr>
        <w:pStyle w:val="Prrafodelista"/>
        <w:numPr>
          <w:ilvl w:val="0"/>
          <w:numId w:val="10"/>
        </w:numPr>
        <w:rPr>
          <w:rFonts w:ascii="Palatino Linotype" w:hAnsi="Palatino Linotype"/>
          <w:b/>
          <w:i/>
          <w:sz w:val="20"/>
          <w:szCs w:val="20"/>
          <w:u w:val="single"/>
        </w:rPr>
      </w:pPr>
      <w:r w:rsidRPr="00A552DE">
        <w:rPr>
          <w:rFonts w:ascii="Palatino Linotype" w:hAnsi="Palatino Linotype"/>
          <w:b/>
          <w:i/>
          <w:sz w:val="20"/>
          <w:szCs w:val="20"/>
          <w:u w:val="single"/>
        </w:rPr>
        <w:t>PUNTO 7.2.</w:t>
      </w:r>
    </w:p>
    <w:p w:rsidR="00887933" w:rsidRPr="00A552DE" w:rsidRDefault="00887933" w:rsidP="00887933">
      <w:pPr>
        <w:pStyle w:val="Prrafodelista"/>
        <w:rPr>
          <w:rFonts w:ascii="Palatino Linotype" w:hAnsi="Palatino Linotype"/>
          <w:b/>
          <w:i/>
          <w:sz w:val="20"/>
          <w:szCs w:val="20"/>
          <w:u w:val="single"/>
        </w:rPr>
      </w:pPr>
    </w:p>
    <w:p w:rsidR="00887933" w:rsidRPr="00A552DE" w:rsidRDefault="00887933" w:rsidP="00887933">
      <w:pPr>
        <w:pStyle w:val="Prrafodelista"/>
        <w:jc w:val="both"/>
        <w:rPr>
          <w:rFonts w:ascii="Palatino Linotype" w:hAnsi="Palatino Linotype"/>
          <w:i/>
          <w:iCs/>
          <w:sz w:val="20"/>
          <w:szCs w:val="20"/>
        </w:rPr>
      </w:pPr>
      <w:r w:rsidRPr="00A552DE">
        <w:rPr>
          <w:rFonts w:ascii="Palatino Linotype" w:hAnsi="Palatino Linotype"/>
          <w:i/>
          <w:iCs/>
          <w:sz w:val="20"/>
          <w:szCs w:val="20"/>
        </w:rPr>
        <w:t xml:space="preserve">7.2. La opción de efectuar el Ajuste Global del Resultado del Período (o </w:t>
      </w:r>
      <w:r w:rsidR="00197DC4">
        <w:rPr>
          <w:rFonts w:ascii="Palatino Linotype" w:hAnsi="Palatino Linotype"/>
          <w:i/>
          <w:iCs/>
          <w:sz w:val="20"/>
          <w:szCs w:val="20"/>
        </w:rPr>
        <w:t>E</w:t>
      </w:r>
      <w:r w:rsidRPr="00A552DE">
        <w:rPr>
          <w:rFonts w:ascii="Palatino Linotype" w:hAnsi="Palatino Linotype"/>
          <w:i/>
          <w:iCs/>
          <w:sz w:val="20"/>
          <w:szCs w:val="20"/>
        </w:rPr>
        <w:t xml:space="preserve">jercicio) será </w:t>
      </w:r>
      <w:r w:rsidRPr="00A552DE">
        <w:rPr>
          <w:rFonts w:ascii="Palatino Linotype" w:hAnsi="Palatino Linotype"/>
          <w:i/>
          <w:sz w:val="20"/>
          <w:szCs w:val="20"/>
        </w:rPr>
        <w:t>elegible por parte del ente en los primeros dos ejercicios, y sus correspondientes períodos intermedios, de aplicación del ajuste por inflación de acuerdo con esta resolución</w:t>
      </w:r>
      <w:r w:rsidRPr="00A552DE">
        <w:rPr>
          <w:rFonts w:ascii="Palatino Linotype" w:hAnsi="Palatino Linotype"/>
          <w:i/>
          <w:iCs/>
          <w:sz w:val="20"/>
          <w:szCs w:val="20"/>
        </w:rPr>
        <w:t>.</w:t>
      </w:r>
    </w:p>
    <w:p w:rsidR="00B57B52" w:rsidRPr="00A552DE" w:rsidRDefault="00B57B52" w:rsidP="00887933">
      <w:pPr>
        <w:pStyle w:val="Prrafodelista"/>
        <w:jc w:val="both"/>
        <w:rPr>
          <w:rFonts w:ascii="Palatino Linotype" w:hAnsi="Palatino Linotype"/>
          <w:i/>
          <w:iCs/>
          <w:sz w:val="20"/>
          <w:szCs w:val="20"/>
        </w:rPr>
      </w:pPr>
    </w:p>
    <w:p w:rsidR="00B57B52" w:rsidRPr="00A552DE" w:rsidRDefault="00894CBF" w:rsidP="00B57B52">
      <w:pPr>
        <w:pStyle w:val="Prrafodelista"/>
        <w:numPr>
          <w:ilvl w:val="0"/>
          <w:numId w:val="16"/>
        </w:numPr>
        <w:spacing w:after="0" w:line="240" w:lineRule="auto"/>
        <w:ind w:left="0" w:firstLine="0"/>
        <w:rPr>
          <w:rFonts w:ascii="Palatino Linotype" w:hAnsi="Palatino Linotype"/>
          <w:b/>
          <w:i/>
          <w:sz w:val="20"/>
          <w:szCs w:val="20"/>
        </w:rPr>
      </w:pPr>
      <w:proofErr w:type="spellStart"/>
      <w:r w:rsidRPr="00A552DE">
        <w:rPr>
          <w:rFonts w:ascii="Palatino Linotype" w:hAnsi="Palatino Linotype"/>
          <w:b/>
          <w:i/>
          <w:sz w:val="20"/>
          <w:szCs w:val="20"/>
        </w:rPr>
        <w:t>Renumerar</w:t>
      </w:r>
      <w:proofErr w:type="spellEnd"/>
      <w:r w:rsidRPr="00A552DE">
        <w:rPr>
          <w:rFonts w:ascii="Palatino Linotype" w:hAnsi="Palatino Linotype"/>
          <w:b/>
          <w:i/>
          <w:sz w:val="20"/>
          <w:szCs w:val="20"/>
        </w:rPr>
        <w:t xml:space="preserve"> los Puntos </w:t>
      </w:r>
      <w:r w:rsidR="00B57B52" w:rsidRPr="00A552DE">
        <w:rPr>
          <w:rFonts w:ascii="Palatino Linotype" w:hAnsi="Palatino Linotype"/>
          <w:b/>
          <w:i/>
          <w:sz w:val="20"/>
          <w:szCs w:val="20"/>
        </w:rPr>
        <w:t>7, 7.1., 7.2., 8 y 8.1. del Anexo de la Resolución MD 2883 como Puntos 8, 8.1, 8.2, 9 y 9.1.</w:t>
      </w:r>
    </w:p>
    <w:p w:rsidR="00894CBF" w:rsidRPr="00A552DE" w:rsidRDefault="00894CBF" w:rsidP="00887933">
      <w:pPr>
        <w:pStyle w:val="Prrafodelista"/>
        <w:jc w:val="both"/>
        <w:rPr>
          <w:rFonts w:ascii="Palatino Linotype" w:hAnsi="Palatino Linotype"/>
          <w:i/>
          <w:iCs/>
          <w:sz w:val="20"/>
          <w:szCs w:val="20"/>
        </w:rPr>
      </w:pPr>
    </w:p>
    <w:p w:rsidR="00894CBF" w:rsidRPr="00887933" w:rsidRDefault="00894CBF" w:rsidP="00887933">
      <w:pPr>
        <w:pStyle w:val="Prrafodelista"/>
        <w:jc w:val="both"/>
        <w:rPr>
          <w:rFonts w:ascii="Palatino Linotype" w:hAnsi="Palatino Linotype"/>
          <w:i/>
          <w:iCs/>
        </w:rPr>
      </w:pPr>
    </w:p>
    <w:p w:rsidR="00887933" w:rsidRDefault="00887933" w:rsidP="00887933">
      <w:pPr>
        <w:pStyle w:val="Prrafodelista"/>
        <w:spacing w:after="0" w:line="240" w:lineRule="auto"/>
        <w:ind w:left="709"/>
        <w:jc w:val="both"/>
        <w:rPr>
          <w:rFonts w:ascii="Palatino Linotype" w:hAnsi="Palatino Linotype"/>
          <w:i/>
        </w:rPr>
      </w:pPr>
    </w:p>
    <w:p w:rsidR="00A552DE" w:rsidRDefault="00A552DE">
      <w:pPr>
        <w:rPr>
          <w:rFonts w:ascii="Palatino Linotype" w:hAnsi="Palatino Linotype"/>
          <w:i/>
          <w:sz w:val="20"/>
          <w:szCs w:val="20"/>
        </w:rPr>
      </w:pPr>
      <w:r>
        <w:rPr>
          <w:rFonts w:ascii="Palatino Linotype" w:hAnsi="Palatino Linotype"/>
          <w:i/>
          <w:sz w:val="20"/>
          <w:szCs w:val="20"/>
        </w:rPr>
        <w:br w:type="page"/>
      </w:r>
    </w:p>
    <w:p w:rsidR="00D9264F" w:rsidRDefault="00D9264F">
      <w:pPr>
        <w:rPr>
          <w:rFonts w:ascii="Palatino Linotype" w:hAnsi="Palatino Linotype"/>
          <w:i/>
          <w:sz w:val="20"/>
          <w:szCs w:val="20"/>
        </w:rPr>
      </w:pPr>
    </w:p>
    <w:p w:rsidR="003610D5" w:rsidRPr="00A552DE" w:rsidRDefault="00887933" w:rsidP="00EE3DFF">
      <w:pPr>
        <w:rPr>
          <w:rFonts w:ascii="Palatino Linotype" w:hAnsi="Palatino Linotype"/>
          <w:b/>
          <w:i/>
          <w:sz w:val="20"/>
          <w:szCs w:val="20"/>
        </w:rPr>
      </w:pPr>
      <w:r w:rsidRPr="00A552DE">
        <w:rPr>
          <w:rFonts w:ascii="Palatino Linotype" w:hAnsi="Palatino Linotype"/>
          <w:b/>
          <w:i/>
          <w:sz w:val="20"/>
          <w:szCs w:val="20"/>
        </w:rPr>
        <w:t>ANEXO II</w:t>
      </w:r>
    </w:p>
    <w:p w:rsidR="003610D5" w:rsidRPr="00A552DE" w:rsidRDefault="003610D5" w:rsidP="003610D5">
      <w:pPr>
        <w:spacing w:after="0" w:line="240" w:lineRule="auto"/>
        <w:rPr>
          <w:rFonts w:ascii="Palatino Linotype" w:hAnsi="Palatino Linotype"/>
          <w:i/>
          <w:sz w:val="20"/>
          <w:szCs w:val="20"/>
        </w:rPr>
      </w:pPr>
    </w:p>
    <w:p w:rsidR="003610D5" w:rsidRPr="00A552DE" w:rsidRDefault="003610D5" w:rsidP="003610D5">
      <w:pPr>
        <w:jc w:val="center"/>
        <w:rPr>
          <w:rFonts w:ascii="Palatino Linotype" w:hAnsi="Palatino Linotype"/>
          <w:b/>
          <w:i/>
          <w:sz w:val="20"/>
          <w:szCs w:val="20"/>
        </w:rPr>
      </w:pPr>
      <w:r w:rsidRPr="00A552DE">
        <w:rPr>
          <w:rFonts w:ascii="Palatino Linotype" w:hAnsi="Palatino Linotype"/>
          <w:b/>
          <w:i/>
          <w:sz w:val="20"/>
          <w:szCs w:val="20"/>
        </w:rPr>
        <w:t>Anexo de la Resolución MD N° 2883</w:t>
      </w:r>
    </w:p>
    <w:p w:rsidR="003610D5" w:rsidRPr="00A552DE" w:rsidRDefault="003610D5" w:rsidP="003610D5">
      <w:pPr>
        <w:jc w:val="both"/>
        <w:rPr>
          <w:rFonts w:ascii="Palatino Linotype" w:hAnsi="Palatino Linotype"/>
          <w:b/>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SEGUNDA PARTE DE LA RES. N° 539/18 DE JUNTA DE GOBIERNO DE LA FACPCE, </w:t>
      </w:r>
      <w:r w:rsidR="00C70C98">
        <w:rPr>
          <w:rFonts w:ascii="Palatino Linotype" w:hAnsi="Palatino Linotype"/>
          <w:b/>
          <w:i/>
          <w:sz w:val="20"/>
          <w:szCs w:val="20"/>
        </w:rPr>
        <w:t xml:space="preserve">CONFORME </w:t>
      </w:r>
      <w:r w:rsidR="00D620BC">
        <w:rPr>
          <w:rFonts w:ascii="Palatino Linotype" w:hAnsi="Palatino Linotype"/>
          <w:b/>
          <w:i/>
          <w:sz w:val="20"/>
          <w:szCs w:val="20"/>
        </w:rPr>
        <w:t>HA SIDO</w:t>
      </w:r>
      <w:r w:rsidR="00C70C98">
        <w:rPr>
          <w:rFonts w:ascii="Palatino Linotype" w:hAnsi="Palatino Linotype"/>
          <w:b/>
          <w:i/>
          <w:sz w:val="20"/>
          <w:szCs w:val="20"/>
        </w:rPr>
        <w:t xml:space="preserve"> </w:t>
      </w:r>
      <w:r w:rsidRPr="00A552DE">
        <w:rPr>
          <w:rFonts w:ascii="Palatino Linotype" w:hAnsi="Palatino Linotype"/>
          <w:b/>
          <w:i/>
          <w:sz w:val="20"/>
          <w:szCs w:val="20"/>
        </w:rPr>
        <w:t>APROBADA POR LA RESOLUCIÓN</w:t>
      </w:r>
      <w:r w:rsidR="00C70C98">
        <w:rPr>
          <w:rFonts w:ascii="Palatino Linotype" w:hAnsi="Palatino Linotype"/>
          <w:b/>
          <w:i/>
          <w:sz w:val="20"/>
          <w:szCs w:val="20"/>
        </w:rPr>
        <w:t xml:space="preserve"> MD</w:t>
      </w:r>
      <w:r w:rsidRPr="00A552DE">
        <w:rPr>
          <w:rFonts w:ascii="Palatino Linotype" w:hAnsi="Palatino Linotype"/>
          <w:b/>
          <w:i/>
          <w:sz w:val="20"/>
          <w:szCs w:val="20"/>
        </w:rPr>
        <w:t xml:space="preserve"> N° 2883</w:t>
      </w:r>
      <w:r w:rsidR="00C70C98">
        <w:rPr>
          <w:rFonts w:ascii="Palatino Linotype" w:hAnsi="Palatino Linotype"/>
          <w:b/>
          <w:i/>
          <w:sz w:val="20"/>
          <w:szCs w:val="20"/>
        </w:rPr>
        <w:t>, CON LAS MODIFICACIONES INTRODUCIDAS POR LA RESOLUCIÓN MD N°</w:t>
      </w:r>
      <w:r w:rsidR="001447CD">
        <w:rPr>
          <w:rFonts w:ascii="Palatino Linotype" w:hAnsi="Palatino Linotype"/>
          <w:b/>
          <w:i/>
          <w:sz w:val="20"/>
          <w:szCs w:val="20"/>
        </w:rPr>
        <w:t xml:space="preserve"> 2979</w:t>
      </w:r>
    </w:p>
    <w:p w:rsidR="003610D5" w:rsidRPr="00A552DE" w:rsidRDefault="003610D5" w:rsidP="003610D5">
      <w:pPr>
        <w:jc w:val="both"/>
        <w:rPr>
          <w:rFonts w:ascii="Palatino Linotype" w:hAnsi="Palatino Linotype"/>
          <w:b/>
          <w:i/>
          <w:sz w:val="20"/>
          <w:szCs w:val="20"/>
        </w:rPr>
      </w:pPr>
    </w:p>
    <w:p w:rsidR="003610D5" w:rsidRPr="00A552DE" w:rsidRDefault="003610D5" w:rsidP="003610D5">
      <w:pPr>
        <w:pStyle w:val="Prrafodelista"/>
        <w:numPr>
          <w:ilvl w:val="0"/>
          <w:numId w:val="6"/>
        </w:numPr>
        <w:ind w:left="284" w:hanging="284"/>
        <w:jc w:val="both"/>
        <w:rPr>
          <w:rFonts w:ascii="Palatino Linotype" w:hAnsi="Palatino Linotype"/>
          <w:b/>
          <w:i/>
          <w:sz w:val="20"/>
          <w:szCs w:val="20"/>
        </w:rPr>
      </w:pPr>
      <w:r w:rsidRPr="00A552DE">
        <w:rPr>
          <w:rFonts w:ascii="Palatino Linotype" w:hAnsi="Palatino Linotype"/>
          <w:b/>
          <w:i/>
          <w:sz w:val="20"/>
          <w:szCs w:val="20"/>
        </w:rPr>
        <w:t xml:space="preserve">INTRODUCCIÓN </w:t>
      </w: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Propósito de esta resolución </w:t>
      </w:r>
    </w:p>
    <w:p w:rsidR="003610D5" w:rsidRPr="00A552DE" w:rsidRDefault="003610D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La circunstancia</w:t>
      </w:r>
      <w:r w:rsidRPr="00A552DE">
        <w:rPr>
          <w:rFonts w:ascii="Palatino Linotype" w:hAnsi="Palatino Linotype"/>
          <w:b/>
          <w:i/>
          <w:sz w:val="20"/>
          <w:szCs w:val="20"/>
        </w:rPr>
        <w:t xml:space="preserve"> </w:t>
      </w:r>
      <w:r w:rsidRPr="00A552DE">
        <w:rPr>
          <w:rFonts w:ascii="Palatino Linotype" w:hAnsi="Palatino Linotype"/>
          <w:i/>
          <w:sz w:val="20"/>
          <w:szCs w:val="20"/>
        </w:rPr>
        <w:t xml:space="preserve">de que nos encontramos en un contexto de inflación en Argentina (en los términos de la Secciones 3.1 de la RT N° 17 y 2.6 de la RT N° 41)  y lo dispuesto en la Resolución  MD N° 2883 implican que los estados contables correspondientes a ejercicios anuales o de períodos intermedios cuyo cierre ocurra a partir del 31 de diciembre de 2018, inclusive, deberán </w:t>
      </w:r>
      <w:proofErr w:type="spellStart"/>
      <w:r w:rsidRPr="00A552DE">
        <w:rPr>
          <w:rFonts w:ascii="Palatino Linotype" w:hAnsi="Palatino Linotype"/>
          <w:i/>
          <w:sz w:val="20"/>
          <w:szCs w:val="20"/>
        </w:rPr>
        <w:t>reexpresarse</w:t>
      </w:r>
      <w:proofErr w:type="spellEnd"/>
      <w:r w:rsidRPr="00A552DE">
        <w:rPr>
          <w:rFonts w:ascii="Palatino Linotype" w:hAnsi="Palatino Linotype"/>
          <w:i/>
          <w:sz w:val="20"/>
          <w:szCs w:val="20"/>
        </w:rPr>
        <w:t xml:space="preserve"> de acuerdo con el procedimiento establecido en la RT N° 6.  En los casos en que el Organismo de Control  del ente acepte la aplicación  voluntaria de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desde los estados contables con anticipación a dicha fecha, se admitirá la aplicación anticipada desde la fecha en que lo permita ese Organismo.</w:t>
      </w:r>
    </w:p>
    <w:p w:rsidR="003610D5" w:rsidRPr="00A552DE" w:rsidRDefault="003610D5" w:rsidP="003610D5">
      <w:pPr>
        <w:pStyle w:val="Prrafodelista"/>
        <w:tabs>
          <w:tab w:val="left" w:pos="142"/>
          <w:tab w:val="left" w:pos="284"/>
        </w:tabs>
        <w:ind w:left="0"/>
        <w:jc w:val="both"/>
        <w:rPr>
          <w:rFonts w:ascii="Palatino Linotype" w:hAnsi="Palatino Linotype"/>
          <w:i/>
          <w:sz w:val="20"/>
          <w:szCs w:val="20"/>
        </w:rPr>
      </w:pPr>
    </w:p>
    <w:p w:rsidR="003610D5" w:rsidRPr="00A552DE" w:rsidRDefault="003610D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 En consecuencia, los estados contables correspondientes a ejercicios anuales o de períodos intermedios que cierren hasta el 30 de diciembre de 2018, inclusive, no deberán </w:t>
      </w:r>
      <w:proofErr w:type="spellStart"/>
      <w:r w:rsidRPr="00A552DE">
        <w:rPr>
          <w:rFonts w:ascii="Palatino Linotype" w:hAnsi="Palatino Linotype"/>
          <w:i/>
          <w:sz w:val="20"/>
          <w:szCs w:val="20"/>
        </w:rPr>
        <w:t>reexpresarse</w:t>
      </w:r>
      <w:proofErr w:type="spellEnd"/>
      <w:r w:rsidRPr="00A552DE">
        <w:rPr>
          <w:rFonts w:ascii="Palatino Linotype" w:hAnsi="Palatino Linotype"/>
          <w:i/>
          <w:sz w:val="20"/>
          <w:szCs w:val="20"/>
        </w:rPr>
        <w:t xml:space="preserve"> de acuerdo con el procedimiento establecido en la RT N° 6, excepto el caso en que se utilice la opción de aplicar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con anticipación a su vigencia obligatoria de conformidad a lo establecido por su Organismo de Control.</w:t>
      </w:r>
    </w:p>
    <w:p w:rsidR="003610D5" w:rsidRPr="00A552DE" w:rsidRDefault="003610D5" w:rsidP="003610D5">
      <w:pPr>
        <w:pStyle w:val="Prrafodelista"/>
        <w:rPr>
          <w:rFonts w:ascii="Palatino Linotype" w:hAnsi="Palatino Linotype"/>
          <w:i/>
          <w:sz w:val="20"/>
          <w:szCs w:val="20"/>
        </w:rPr>
      </w:pPr>
    </w:p>
    <w:p w:rsidR="003610D5" w:rsidRPr="00A552DE" w:rsidRDefault="003610D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El último período en el que correspondió realizar el ajuste por inflación de la RT N° 6 fue el iniciado el 01/01/2002 y terminado el 30/09/2003. Para ello, se aplicó una versión de la RT N° 6 anterior, diferente de la actual. Adicionalmente, como consecuencia de la vigencia del Decreto 1269-02 (modificado por el Decreto 664-03) ciertos entes realizaron el ajuste por inflación hasta el 28/02/2003. </w:t>
      </w:r>
    </w:p>
    <w:p w:rsidR="003610D5" w:rsidRPr="00A552DE" w:rsidRDefault="003610D5" w:rsidP="003610D5">
      <w:pPr>
        <w:pStyle w:val="Prrafodelista"/>
        <w:rPr>
          <w:rFonts w:ascii="Palatino Linotype" w:hAnsi="Palatino Linotype"/>
          <w:i/>
          <w:sz w:val="20"/>
          <w:szCs w:val="20"/>
        </w:rPr>
      </w:pPr>
    </w:p>
    <w:p w:rsidR="003610D5" w:rsidRPr="00A552DE" w:rsidRDefault="003610D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La inmediata aplicación de la RT N° 6 genera múltiples exigencias que requieren un plazo para lograr su objetivo. </w:t>
      </w:r>
    </w:p>
    <w:p w:rsidR="003610D5" w:rsidRPr="00A552DE" w:rsidRDefault="003610D5" w:rsidP="003610D5">
      <w:pPr>
        <w:pStyle w:val="Prrafodelista"/>
        <w:rPr>
          <w:rFonts w:ascii="Palatino Linotype" w:hAnsi="Palatino Linotype"/>
          <w:i/>
          <w:sz w:val="20"/>
          <w:szCs w:val="20"/>
        </w:rPr>
      </w:pPr>
    </w:p>
    <w:p w:rsidR="003610D5" w:rsidRPr="00A552DE" w:rsidRDefault="003610D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lastRenderedPageBreak/>
        <w:t xml:space="preserve">En ese sentido, esta resolución establece opciones relacionadas con la aplicación de la RT N° 6 y con los procedimientos detallados de la misma, contemplando las dificultades que para las entidades, y en particular para aquellas que categorizan como Ente Pequeño o Ente Mediano, puede conllevar la reanudación de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de los estados contables </w:t>
      </w:r>
      <w:r w:rsidRPr="00A552DE">
        <w:rPr>
          <w:rFonts w:ascii="Palatino Linotype" w:hAnsi="Palatino Linotype"/>
          <w:i/>
          <w:iCs/>
          <w:sz w:val="20"/>
          <w:szCs w:val="20"/>
        </w:rPr>
        <w:t>luego de un largo período de tiempo en el que dicho procedimiento ha estado discontinuado, teniendo en cuenta antecedentes técnicos y el objeto de facilitar la aplicación del método.</w:t>
      </w:r>
    </w:p>
    <w:p w:rsidR="003610D5" w:rsidRPr="00A552DE" w:rsidRDefault="003610D5" w:rsidP="003610D5">
      <w:pPr>
        <w:pStyle w:val="Prrafodelista"/>
        <w:tabs>
          <w:tab w:val="left" w:pos="142"/>
          <w:tab w:val="left" w:pos="284"/>
        </w:tabs>
        <w:ind w:left="0"/>
        <w:jc w:val="both"/>
        <w:rPr>
          <w:rFonts w:ascii="Palatino Linotype" w:hAnsi="Palatino Linotype"/>
          <w:b/>
          <w:i/>
          <w:sz w:val="20"/>
          <w:szCs w:val="20"/>
        </w:rPr>
      </w:pPr>
    </w:p>
    <w:p w:rsidR="003610D5" w:rsidRPr="00A552DE" w:rsidRDefault="008F2775" w:rsidP="003610D5">
      <w:pPr>
        <w:pStyle w:val="Prrafodelista"/>
        <w:numPr>
          <w:ilvl w:val="1"/>
          <w:numId w:val="6"/>
        </w:numPr>
        <w:tabs>
          <w:tab w:val="left" w:pos="142"/>
          <w:tab w:val="left" w:pos="284"/>
        </w:tabs>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Las opciones incluidas en esta resolución, con el alcance establecido para cada una de ellas,</w:t>
      </w:r>
      <w:r w:rsidR="003610D5" w:rsidRPr="00A552DE">
        <w:rPr>
          <w:rFonts w:ascii="Palatino Linotype" w:hAnsi="Palatino Linotype"/>
          <w:i/>
          <w:sz w:val="20"/>
          <w:szCs w:val="20"/>
        </w:rPr>
        <w:t xml:space="preserve"> son elegibles por parte del ente </w:t>
      </w:r>
      <w:r w:rsidRPr="00A552DE">
        <w:rPr>
          <w:rFonts w:ascii="Palatino Linotype" w:hAnsi="Palatino Linotype"/>
          <w:i/>
          <w:sz w:val="20"/>
          <w:szCs w:val="20"/>
        </w:rPr>
        <w:t xml:space="preserve">que deba aplicar </w:t>
      </w:r>
      <w:r w:rsidR="003610D5" w:rsidRPr="00A552DE">
        <w:rPr>
          <w:rFonts w:ascii="Palatino Linotype" w:hAnsi="Palatino Linotype"/>
          <w:i/>
          <w:sz w:val="20"/>
          <w:szCs w:val="20"/>
        </w:rPr>
        <w:t>el ajuste por inflación de acuerdo</w:t>
      </w:r>
      <w:r w:rsidR="00F7693F" w:rsidRPr="00A552DE">
        <w:rPr>
          <w:rFonts w:ascii="Palatino Linotype" w:hAnsi="Palatino Linotype"/>
          <w:i/>
          <w:sz w:val="20"/>
          <w:szCs w:val="20"/>
        </w:rPr>
        <w:t xml:space="preserve"> con</w:t>
      </w:r>
      <w:r w:rsidR="003610D5" w:rsidRPr="00A552DE">
        <w:rPr>
          <w:rFonts w:ascii="Palatino Linotype" w:hAnsi="Palatino Linotype"/>
          <w:i/>
          <w:sz w:val="20"/>
          <w:szCs w:val="20"/>
        </w:rPr>
        <w:t xml:space="preserve"> </w:t>
      </w:r>
      <w:r w:rsidRPr="00A552DE">
        <w:rPr>
          <w:rFonts w:ascii="Palatino Linotype" w:hAnsi="Palatino Linotype"/>
          <w:i/>
          <w:sz w:val="20"/>
          <w:szCs w:val="20"/>
        </w:rPr>
        <w:t>las normas contables argentinas.</w:t>
      </w:r>
    </w:p>
    <w:p w:rsidR="003610D5" w:rsidRPr="00A552DE" w:rsidRDefault="003610D5" w:rsidP="003610D5">
      <w:pPr>
        <w:pStyle w:val="Prrafodelista"/>
        <w:tabs>
          <w:tab w:val="left" w:pos="142"/>
          <w:tab w:val="left" w:pos="284"/>
        </w:tabs>
        <w:ind w:left="0"/>
        <w:jc w:val="both"/>
        <w:rPr>
          <w:rFonts w:ascii="Palatino Linotype" w:hAnsi="Palatino Linotype"/>
          <w:i/>
          <w:sz w:val="20"/>
          <w:szCs w:val="20"/>
        </w:rPr>
      </w:pPr>
    </w:p>
    <w:p w:rsidR="003610D5" w:rsidRPr="00A552DE" w:rsidRDefault="003610D5" w:rsidP="0093306D">
      <w:pPr>
        <w:pStyle w:val="Prrafodelista"/>
        <w:numPr>
          <w:ilvl w:val="0"/>
          <w:numId w:val="6"/>
        </w:numPr>
        <w:spacing w:after="0" w:line="240" w:lineRule="auto"/>
        <w:ind w:left="284" w:hanging="284"/>
        <w:jc w:val="both"/>
        <w:rPr>
          <w:rFonts w:ascii="Palatino Linotype" w:hAnsi="Palatino Linotype"/>
          <w:b/>
          <w:i/>
          <w:sz w:val="20"/>
          <w:szCs w:val="20"/>
        </w:rPr>
      </w:pPr>
      <w:r w:rsidRPr="00A552DE">
        <w:rPr>
          <w:rFonts w:ascii="Palatino Linotype" w:hAnsi="Palatino Linotype"/>
          <w:b/>
          <w:i/>
          <w:sz w:val="20"/>
          <w:szCs w:val="20"/>
        </w:rPr>
        <w:t xml:space="preserve">NORMAS GENERALES </w:t>
      </w:r>
    </w:p>
    <w:p w:rsidR="003610D5" w:rsidRPr="00A552DE" w:rsidRDefault="003610D5" w:rsidP="00A552DE">
      <w:pPr>
        <w:pStyle w:val="Prrafodelista"/>
        <w:spacing w:after="120" w:line="240" w:lineRule="auto"/>
        <w:ind w:left="0"/>
        <w:jc w:val="both"/>
        <w:rPr>
          <w:rFonts w:ascii="Palatino Linotype" w:hAnsi="Palatino Linotype"/>
          <w:b/>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Esta sección no es aplicable en jurisdicción del Consejo Profesional de Ciencias Económicas de la Provincia de Buenos Aires atento a la vigencia establecida por el Art. 1° de la Resolución MD N° 2883.</w:t>
      </w:r>
    </w:p>
    <w:p w:rsidR="003610D5" w:rsidRPr="00A552DE" w:rsidRDefault="003610D5" w:rsidP="003610D5">
      <w:pPr>
        <w:pStyle w:val="Prrafodelista"/>
        <w:numPr>
          <w:ilvl w:val="0"/>
          <w:numId w:val="6"/>
        </w:numPr>
        <w:spacing w:after="0" w:line="240" w:lineRule="auto"/>
        <w:ind w:left="284" w:hanging="284"/>
        <w:jc w:val="both"/>
        <w:rPr>
          <w:rFonts w:ascii="Palatino Linotype" w:hAnsi="Palatino Linotype"/>
          <w:b/>
          <w:i/>
          <w:sz w:val="20"/>
          <w:szCs w:val="20"/>
        </w:rPr>
      </w:pPr>
      <w:r w:rsidRPr="00A552DE">
        <w:rPr>
          <w:rFonts w:ascii="Palatino Linotype" w:hAnsi="Palatino Linotype"/>
          <w:b/>
          <w:i/>
          <w:sz w:val="20"/>
          <w:szCs w:val="20"/>
        </w:rPr>
        <w:t xml:space="preserve">NORMAS PARTICULARES </w:t>
      </w:r>
    </w:p>
    <w:p w:rsidR="003610D5" w:rsidRPr="00A552DE" w:rsidRDefault="003610D5" w:rsidP="003610D5">
      <w:pPr>
        <w:pStyle w:val="Prrafodelista"/>
        <w:jc w:val="both"/>
        <w:rPr>
          <w:rFonts w:ascii="Palatino Linotype" w:hAnsi="Palatino Linotype"/>
          <w:b/>
          <w:i/>
          <w:sz w:val="20"/>
          <w:szCs w:val="20"/>
        </w:rPr>
      </w:pPr>
    </w:p>
    <w:p w:rsidR="003610D5" w:rsidRPr="00A552DE" w:rsidRDefault="003610D5" w:rsidP="00352C1D">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Para la aplicación de lo establecido en el punto 1.1. se establecen las siguientes opciones, adicionales a las existentes en la RT N° 6: </w:t>
      </w:r>
    </w:p>
    <w:p w:rsidR="00352C1D" w:rsidRPr="00A552DE" w:rsidRDefault="00352C1D" w:rsidP="00352C1D">
      <w:pPr>
        <w:pStyle w:val="Prrafodelista"/>
        <w:spacing w:after="0" w:line="240" w:lineRule="auto"/>
        <w:ind w:left="0"/>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Opción de no determinar el patrimonio neto ajustado al inicio del ejercicio comparativo </w:t>
      </w: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Se podrá aplicar el procedimiento de ajuste por inflación comenzando por la determinación del patrimonio neto al inicio del ejercicio actual, en moneda del inicio, lo que implica determinar el patrimonio neto total y </w:t>
      </w:r>
      <w:proofErr w:type="spellStart"/>
      <w:r w:rsidRPr="00A552DE">
        <w:rPr>
          <w:rFonts w:ascii="Palatino Linotype" w:hAnsi="Palatino Linotype"/>
          <w:i/>
          <w:sz w:val="20"/>
          <w:szCs w:val="20"/>
        </w:rPr>
        <w:t>reexpresar</w:t>
      </w:r>
      <w:proofErr w:type="spellEnd"/>
      <w:r w:rsidRPr="00A552DE">
        <w:rPr>
          <w:rFonts w:ascii="Palatino Linotype" w:hAnsi="Palatino Linotype"/>
          <w:i/>
          <w:sz w:val="20"/>
          <w:szCs w:val="20"/>
        </w:rPr>
        <w:t xml:space="preserve"> sus componentes a moneda del inicio. </w:t>
      </w:r>
    </w:p>
    <w:p w:rsidR="003610D5" w:rsidRPr="00A552DE" w:rsidRDefault="003610D5" w:rsidP="003610D5">
      <w:pPr>
        <w:pStyle w:val="Prrafodelista"/>
        <w:ind w:left="0"/>
        <w:jc w:val="both"/>
        <w:rPr>
          <w:rFonts w:ascii="Palatino Linotype" w:hAnsi="Palatino Linotype"/>
          <w:i/>
          <w:sz w:val="20"/>
          <w:szCs w:val="20"/>
        </w:rPr>
      </w:pP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La aplicación del punto anterior implica que no estarán expresados en moneda de cierre el estado de resultados, el estado de evolución del patrimonio neto y el estado de flujos de efectivo correspondientes al ejercicio comparativo del año anterior. </w:t>
      </w:r>
    </w:p>
    <w:p w:rsidR="003610D5" w:rsidRPr="00A552DE" w:rsidRDefault="003610D5" w:rsidP="003610D5">
      <w:pPr>
        <w:pStyle w:val="Prrafodelista"/>
        <w:ind w:left="0"/>
        <w:jc w:val="both"/>
        <w:rPr>
          <w:rFonts w:ascii="Palatino Linotype" w:hAnsi="Palatino Linotype"/>
          <w:i/>
          <w:sz w:val="20"/>
          <w:szCs w:val="20"/>
        </w:rPr>
      </w:pP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En consecuencia, si se hace uso de esta opción, solo se presentará la información comparativa correspondiente al estado de situación patrimonial y no se presentará la información comparativa para el resto de los estados.</w:t>
      </w:r>
    </w:p>
    <w:p w:rsidR="004708B7" w:rsidRPr="00A552DE" w:rsidRDefault="004708B7" w:rsidP="004708B7">
      <w:pPr>
        <w:pStyle w:val="Prrafodelista"/>
        <w:rPr>
          <w:rFonts w:ascii="Palatino Linotype" w:hAnsi="Palatino Linotype"/>
          <w:i/>
          <w:sz w:val="20"/>
          <w:szCs w:val="20"/>
        </w:rPr>
      </w:pPr>
    </w:p>
    <w:p w:rsidR="003610D5" w:rsidRPr="00A552DE" w:rsidRDefault="004708B7" w:rsidP="00DB492E">
      <w:pPr>
        <w:pStyle w:val="Prrafodelista"/>
        <w:spacing w:after="0" w:line="240" w:lineRule="auto"/>
        <w:ind w:left="0"/>
        <w:jc w:val="both"/>
        <w:rPr>
          <w:rFonts w:ascii="Palatino Linotype" w:hAnsi="Palatino Linotype"/>
          <w:i/>
          <w:sz w:val="20"/>
          <w:szCs w:val="20"/>
        </w:rPr>
      </w:pPr>
      <w:r w:rsidRPr="00A552DE">
        <w:rPr>
          <w:rFonts w:ascii="Palatino Linotype" w:hAnsi="Palatino Linotype"/>
          <w:i/>
          <w:sz w:val="20"/>
          <w:szCs w:val="20"/>
        </w:rPr>
        <w:t>3.4</w:t>
      </w:r>
      <w:proofErr w:type="gramStart"/>
      <w:r w:rsidRPr="00A552DE">
        <w:rPr>
          <w:rFonts w:ascii="Palatino Linotype" w:hAnsi="Palatino Linotype"/>
          <w:i/>
          <w:sz w:val="20"/>
          <w:szCs w:val="20"/>
        </w:rPr>
        <w:t>.A</w:t>
      </w:r>
      <w:proofErr w:type="gramEnd"/>
      <w:r w:rsidRPr="00A552DE">
        <w:rPr>
          <w:rFonts w:ascii="Palatino Linotype" w:hAnsi="Palatino Linotype"/>
          <w:i/>
          <w:sz w:val="20"/>
          <w:szCs w:val="20"/>
        </w:rPr>
        <w:t>.  La opción que un ente podrá utilizar de acuerdo con esta sección alcanza tanto a los estados contables correspondientes al primer ejercicio en el cual e</w:t>
      </w:r>
      <w:r w:rsidR="00F7693F" w:rsidRPr="00A552DE">
        <w:rPr>
          <w:rFonts w:ascii="Palatino Linotype" w:hAnsi="Palatino Linotype"/>
          <w:i/>
          <w:sz w:val="20"/>
          <w:szCs w:val="20"/>
        </w:rPr>
        <w:t>l</w:t>
      </w:r>
      <w:r w:rsidRPr="00A552DE">
        <w:rPr>
          <w:rFonts w:ascii="Palatino Linotype" w:hAnsi="Palatino Linotype"/>
          <w:i/>
          <w:sz w:val="20"/>
          <w:szCs w:val="20"/>
        </w:rPr>
        <w:t xml:space="preserve"> ente aplique la </w:t>
      </w:r>
      <w:r w:rsidR="00F7693F" w:rsidRPr="00A552DE">
        <w:rPr>
          <w:rFonts w:ascii="Palatino Linotype" w:hAnsi="Palatino Linotype"/>
          <w:i/>
          <w:sz w:val="20"/>
          <w:szCs w:val="20"/>
        </w:rPr>
        <w:t>R</w:t>
      </w:r>
      <w:r w:rsidRPr="00A552DE">
        <w:rPr>
          <w:rFonts w:ascii="Palatino Linotype" w:hAnsi="Palatino Linotype"/>
          <w:i/>
          <w:sz w:val="20"/>
          <w:szCs w:val="20"/>
        </w:rPr>
        <w:t>T N° 6, como a todos los períodos intermedios comprendidos en ese ejercicio.</w:t>
      </w:r>
    </w:p>
    <w:p w:rsidR="00DB492E" w:rsidRPr="00A552DE" w:rsidRDefault="00DB492E" w:rsidP="00DB492E">
      <w:pPr>
        <w:pStyle w:val="Prrafodelista"/>
        <w:spacing w:after="0" w:line="240" w:lineRule="auto"/>
        <w:ind w:left="0"/>
        <w:jc w:val="both"/>
        <w:rPr>
          <w:rFonts w:ascii="Palatino Linotype" w:hAnsi="Palatino Linotype"/>
          <w:i/>
          <w:sz w:val="20"/>
          <w:szCs w:val="20"/>
        </w:rPr>
      </w:pPr>
    </w:p>
    <w:p w:rsidR="00DB492E" w:rsidRPr="00A552DE" w:rsidRDefault="00DB492E" w:rsidP="00DB492E">
      <w:pPr>
        <w:pStyle w:val="Prrafodelista"/>
        <w:spacing w:after="0" w:line="240" w:lineRule="auto"/>
        <w:ind w:left="0"/>
        <w:jc w:val="both"/>
        <w:rPr>
          <w:rFonts w:ascii="Palatino Linotype" w:hAnsi="Palatino Linotype"/>
          <w:i/>
          <w:sz w:val="20"/>
          <w:szCs w:val="20"/>
        </w:rPr>
      </w:pPr>
      <w:r w:rsidRPr="00A552DE">
        <w:rPr>
          <w:rFonts w:ascii="Palatino Linotype" w:hAnsi="Palatino Linotype"/>
          <w:i/>
          <w:sz w:val="20"/>
          <w:szCs w:val="20"/>
        </w:rPr>
        <w:lastRenderedPageBreak/>
        <w:t>3.4</w:t>
      </w:r>
      <w:proofErr w:type="gramStart"/>
      <w:r w:rsidRPr="00A552DE">
        <w:rPr>
          <w:rFonts w:ascii="Palatino Linotype" w:hAnsi="Palatino Linotype"/>
          <w:i/>
          <w:sz w:val="20"/>
          <w:szCs w:val="20"/>
        </w:rPr>
        <w:t>.B</w:t>
      </w:r>
      <w:proofErr w:type="gramEnd"/>
      <w:r w:rsidRPr="00A552DE">
        <w:rPr>
          <w:rFonts w:ascii="Palatino Linotype" w:hAnsi="Palatino Linotype"/>
          <w:i/>
          <w:sz w:val="20"/>
          <w:szCs w:val="20"/>
        </w:rPr>
        <w:t xml:space="preserve">.  En un período intermedio posterior (posterior </w:t>
      </w:r>
      <w:r w:rsidR="00D620BC">
        <w:rPr>
          <w:rFonts w:ascii="Palatino Linotype" w:hAnsi="Palatino Linotype"/>
          <w:i/>
          <w:sz w:val="20"/>
          <w:szCs w:val="20"/>
        </w:rPr>
        <w:t>a</w:t>
      </w:r>
      <w:r w:rsidRPr="00A552DE">
        <w:rPr>
          <w:rFonts w:ascii="Palatino Linotype" w:hAnsi="Palatino Linotype"/>
          <w:i/>
          <w:sz w:val="20"/>
          <w:szCs w:val="20"/>
        </w:rPr>
        <w:t>l primer ejercicio en el cual el ente aplicó por primera vez el ajuste</w:t>
      </w:r>
      <w:r w:rsidR="00197DC4">
        <w:rPr>
          <w:rFonts w:ascii="Palatino Linotype" w:hAnsi="Palatino Linotype"/>
          <w:i/>
          <w:sz w:val="20"/>
          <w:szCs w:val="20"/>
        </w:rPr>
        <w:t xml:space="preserve"> </w:t>
      </w:r>
      <w:r w:rsidRPr="00A552DE">
        <w:rPr>
          <w:rFonts w:ascii="Palatino Linotype" w:hAnsi="Palatino Linotype"/>
          <w:i/>
          <w:sz w:val="20"/>
          <w:szCs w:val="20"/>
        </w:rPr>
        <w:t>de la RT N° 6) no se requiere la presentación de información comparativa del período equivalente cuando, por aplicación de esta resolución, el ente no hubiera aplicado el ajuste por inflación sobre los estados contables de ese período intermedio equivalente.</w:t>
      </w:r>
    </w:p>
    <w:p w:rsidR="00DB492E" w:rsidRPr="00A552DE" w:rsidRDefault="00DB492E" w:rsidP="003610D5">
      <w:pPr>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Opción en los pasos para la </w:t>
      </w:r>
      <w:proofErr w:type="spellStart"/>
      <w:r w:rsidRPr="00A552DE">
        <w:rPr>
          <w:rFonts w:ascii="Palatino Linotype" w:hAnsi="Palatino Linotype"/>
          <w:b/>
          <w:i/>
          <w:sz w:val="20"/>
          <w:szCs w:val="20"/>
        </w:rPr>
        <w:t>reexpresión</w:t>
      </w:r>
      <w:proofErr w:type="spellEnd"/>
      <w:r w:rsidRPr="00A552DE">
        <w:rPr>
          <w:rFonts w:ascii="Palatino Linotype" w:hAnsi="Palatino Linotype"/>
          <w:b/>
          <w:i/>
          <w:sz w:val="20"/>
          <w:szCs w:val="20"/>
        </w:rPr>
        <w:t xml:space="preserve"> de las partidas </w:t>
      </w: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b/>
          <w:i/>
          <w:sz w:val="20"/>
          <w:szCs w:val="20"/>
        </w:rPr>
        <w:t>No aplicable en</w:t>
      </w:r>
      <w:r w:rsidRPr="00A552DE">
        <w:rPr>
          <w:rFonts w:ascii="Palatino Linotype" w:hAnsi="Palatino Linotype"/>
          <w:i/>
          <w:sz w:val="20"/>
          <w:szCs w:val="20"/>
        </w:rPr>
        <w:t xml:space="preserve"> </w:t>
      </w:r>
      <w:r w:rsidRPr="00A552DE">
        <w:rPr>
          <w:rFonts w:ascii="Palatino Linotype" w:hAnsi="Palatino Linotype"/>
          <w:b/>
          <w:i/>
          <w:sz w:val="20"/>
          <w:szCs w:val="20"/>
        </w:rPr>
        <w:t>jurisdicción del Consejo Profesional de Ciencias Económicas de la Provincia de Buenos Aires, en tanto tiene aplicación obligatoria la Resolución Técnica N° 48.</w:t>
      </w:r>
    </w:p>
    <w:p w:rsidR="003610D5" w:rsidRPr="00A552DE" w:rsidRDefault="003610D5" w:rsidP="003610D5">
      <w:pPr>
        <w:pStyle w:val="Prrafodelista"/>
        <w:ind w:left="0"/>
        <w:jc w:val="both"/>
        <w:rPr>
          <w:rFonts w:ascii="Palatino Linotype" w:hAnsi="Palatino Linotype"/>
          <w:i/>
          <w:sz w:val="20"/>
          <w:szCs w:val="20"/>
        </w:rPr>
      </w:pP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Se podrán </w:t>
      </w:r>
      <w:proofErr w:type="spellStart"/>
      <w:r w:rsidRPr="00A552DE">
        <w:rPr>
          <w:rFonts w:ascii="Palatino Linotype" w:hAnsi="Palatino Linotype"/>
          <w:i/>
          <w:sz w:val="20"/>
          <w:szCs w:val="20"/>
        </w:rPr>
        <w:t>reexpresar</w:t>
      </w:r>
      <w:proofErr w:type="spellEnd"/>
      <w:r w:rsidRPr="00A552DE">
        <w:rPr>
          <w:rFonts w:ascii="Palatino Linotype" w:hAnsi="Palatino Linotype"/>
          <w:i/>
          <w:sz w:val="20"/>
          <w:szCs w:val="20"/>
        </w:rPr>
        <w:t xml:space="preserve"> los activos (*), pasivos (*) y componentes del patrimonio</w:t>
      </w:r>
      <w:r w:rsidR="00FC67B3" w:rsidRPr="00A552DE">
        <w:rPr>
          <w:rFonts w:ascii="Palatino Linotype" w:hAnsi="Palatino Linotype"/>
          <w:i/>
          <w:sz w:val="20"/>
          <w:szCs w:val="20"/>
        </w:rPr>
        <w:t xml:space="preserve"> neto</w:t>
      </w:r>
      <w:r w:rsidRPr="00A552DE">
        <w:rPr>
          <w:rFonts w:ascii="Palatino Linotype" w:hAnsi="Palatino Linotype"/>
          <w:i/>
          <w:sz w:val="20"/>
          <w:szCs w:val="20"/>
        </w:rPr>
        <w:t xml:space="preserve"> con fecha de origen anterior al último proceso de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tomando como base las cifras </w:t>
      </w:r>
      <w:proofErr w:type="spellStart"/>
      <w:r w:rsidRPr="00A552DE">
        <w:rPr>
          <w:rFonts w:ascii="Palatino Linotype" w:hAnsi="Palatino Linotype"/>
          <w:i/>
          <w:sz w:val="20"/>
          <w:szCs w:val="20"/>
        </w:rPr>
        <w:t>reexpresadas</w:t>
      </w:r>
      <w:proofErr w:type="spellEnd"/>
      <w:r w:rsidRPr="00A552DE">
        <w:rPr>
          <w:rFonts w:ascii="Palatino Linotype" w:hAnsi="Palatino Linotype"/>
          <w:i/>
          <w:sz w:val="20"/>
          <w:szCs w:val="20"/>
        </w:rPr>
        <w:t xml:space="preserve"> previamente desde la última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realizada (febrero 2003, o setiembre de 2003).</w:t>
      </w:r>
    </w:p>
    <w:p w:rsidR="003610D5" w:rsidRPr="00A552DE" w:rsidRDefault="003610D5" w:rsidP="003610D5">
      <w:pPr>
        <w:pStyle w:val="Prrafodelista"/>
        <w:ind w:left="0"/>
        <w:jc w:val="both"/>
        <w:rPr>
          <w:rFonts w:ascii="Palatino Linotype" w:hAnsi="Palatino Linotype"/>
          <w:b/>
          <w:i/>
          <w:sz w:val="20"/>
          <w:szCs w:val="20"/>
        </w:rPr>
      </w:pPr>
      <w:r w:rsidRPr="00A552DE">
        <w:rPr>
          <w:rFonts w:ascii="Palatino Linotype" w:hAnsi="Palatino Linotype"/>
          <w:b/>
          <w:i/>
          <w:sz w:val="20"/>
          <w:szCs w:val="20"/>
        </w:rPr>
        <w:t xml:space="preserve">(*) Como se indica en el Punto </w:t>
      </w:r>
      <w:r w:rsidR="00A141FD">
        <w:rPr>
          <w:rFonts w:ascii="Palatino Linotype" w:hAnsi="Palatino Linotype"/>
          <w:b/>
          <w:i/>
          <w:sz w:val="20"/>
          <w:szCs w:val="20"/>
        </w:rPr>
        <w:t>8</w:t>
      </w:r>
      <w:r w:rsidRPr="00A552DE">
        <w:rPr>
          <w:rFonts w:ascii="Palatino Linotype" w:hAnsi="Palatino Linotype"/>
          <w:b/>
          <w:i/>
          <w:sz w:val="20"/>
          <w:szCs w:val="20"/>
        </w:rPr>
        <w:t xml:space="preserve">, los importes  de los activos, y en su caso pasivos, remedidos por aplicación de la RT N° 48 deben ser considerados expresados en moneda de poder adquisitivo del momento al que se refiere la remedición, a los efectos de su </w:t>
      </w:r>
      <w:proofErr w:type="spellStart"/>
      <w:r w:rsidRPr="00A552DE">
        <w:rPr>
          <w:rFonts w:ascii="Palatino Linotype" w:hAnsi="Palatino Linotype"/>
          <w:b/>
          <w:i/>
          <w:sz w:val="20"/>
          <w:szCs w:val="20"/>
        </w:rPr>
        <w:t>reexpresión</w:t>
      </w:r>
      <w:proofErr w:type="spellEnd"/>
      <w:r w:rsidRPr="00A552DE">
        <w:rPr>
          <w:rFonts w:ascii="Palatino Linotype" w:hAnsi="Palatino Linotype"/>
          <w:b/>
          <w:i/>
          <w:sz w:val="20"/>
          <w:szCs w:val="20"/>
        </w:rPr>
        <w:t xml:space="preserve"> desde ese momento y a partir de tales importes.</w:t>
      </w: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Opción en la información complementaria requerida por la Interpretación 2 </w:t>
      </w: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La alternativa planteada en el inciso (b) del párrafo 6 de la Interpretación 2 podrá ser utilizada por todos los entes. </w:t>
      </w:r>
    </w:p>
    <w:p w:rsidR="003610D5" w:rsidRPr="00A552DE" w:rsidRDefault="003610D5" w:rsidP="003610D5">
      <w:pPr>
        <w:pStyle w:val="Prrafodelista"/>
        <w:spacing w:after="0" w:line="240" w:lineRule="auto"/>
        <w:ind w:left="0"/>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Opción en la aplicación del método del impuesto diferido </w:t>
      </w:r>
    </w:p>
    <w:p w:rsidR="003610D5" w:rsidRPr="00A552DE" w:rsidRDefault="003610D5" w:rsidP="003610D5">
      <w:pPr>
        <w:pStyle w:val="Prrafodelista"/>
        <w:numPr>
          <w:ilvl w:val="1"/>
          <w:numId w:val="6"/>
        </w:numPr>
        <w:spacing w:after="0" w:line="240" w:lineRule="auto"/>
        <w:ind w:left="0" w:firstLine="0"/>
        <w:jc w:val="both"/>
        <w:rPr>
          <w:rFonts w:ascii="Palatino Linotype" w:hAnsi="Palatino Linotype"/>
          <w:i/>
          <w:sz w:val="20"/>
          <w:szCs w:val="20"/>
        </w:rPr>
      </w:pPr>
      <w:r w:rsidRPr="00A552DE">
        <w:rPr>
          <w:rFonts w:ascii="Palatino Linotype" w:hAnsi="Palatino Linotype"/>
          <w:i/>
          <w:sz w:val="20"/>
          <w:szCs w:val="20"/>
        </w:rPr>
        <w:t xml:space="preserve">Los entes que preparan sus estados contables de acuerdo con las normas de la RT 17 o RT 41, 3ra parte, podrán no reconocer la diferencia surgida de la aplicación de la RT 6 en los terrenos sobre los que sea improbable que las diferencias temporarias se reversen en el futuro previsible (por ejemplo, si no se prevé su venta en un futuro previsible) y deberán informar las mismas en notas. </w:t>
      </w:r>
    </w:p>
    <w:p w:rsidR="003610D5" w:rsidRPr="00A552DE" w:rsidRDefault="003610D5" w:rsidP="003610D5">
      <w:pPr>
        <w:pStyle w:val="Prrafodelista"/>
        <w:ind w:left="735"/>
        <w:jc w:val="both"/>
        <w:rPr>
          <w:rFonts w:ascii="Palatino Linotype" w:hAnsi="Palatino Linotype"/>
          <w:i/>
          <w:sz w:val="20"/>
          <w:szCs w:val="20"/>
        </w:rPr>
      </w:pPr>
    </w:p>
    <w:p w:rsidR="00DB492E" w:rsidRPr="00A552DE" w:rsidRDefault="00DB492E" w:rsidP="00DB492E">
      <w:pPr>
        <w:pStyle w:val="Prrafodelista"/>
        <w:spacing w:after="0" w:line="240" w:lineRule="auto"/>
        <w:ind w:left="0"/>
        <w:jc w:val="both"/>
        <w:rPr>
          <w:rFonts w:ascii="Palatino Linotype" w:hAnsi="Palatino Linotype"/>
          <w:i/>
          <w:sz w:val="20"/>
          <w:szCs w:val="20"/>
          <w:vertAlign w:val="superscript"/>
        </w:rPr>
      </w:pPr>
      <w:r w:rsidRPr="00A552DE">
        <w:rPr>
          <w:rFonts w:ascii="Palatino Linotype" w:hAnsi="Palatino Linotype"/>
          <w:i/>
          <w:sz w:val="20"/>
          <w:szCs w:val="20"/>
        </w:rPr>
        <w:t>3.8</w:t>
      </w:r>
      <w:proofErr w:type="gramStart"/>
      <w:r w:rsidRPr="00A552DE">
        <w:rPr>
          <w:rFonts w:ascii="Palatino Linotype" w:hAnsi="Palatino Linotype"/>
          <w:i/>
          <w:sz w:val="20"/>
          <w:szCs w:val="20"/>
        </w:rPr>
        <w:t>.A</w:t>
      </w:r>
      <w:proofErr w:type="gramEnd"/>
      <w:r w:rsidRPr="00A552DE">
        <w:rPr>
          <w:rFonts w:ascii="Palatino Linotype" w:hAnsi="Palatino Linotype"/>
          <w:i/>
          <w:sz w:val="20"/>
          <w:szCs w:val="20"/>
        </w:rPr>
        <w:t xml:space="preserve">.  La alternativa planteada en el punto 2.2. </w:t>
      </w:r>
      <w:proofErr w:type="gramStart"/>
      <w:r w:rsidRPr="00A552DE">
        <w:rPr>
          <w:rFonts w:ascii="Palatino Linotype" w:hAnsi="Palatino Linotype"/>
          <w:i/>
          <w:sz w:val="20"/>
          <w:szCs w:val="20"/>
        </w:rPr>
        <w:t>del</w:t>
      </w:r>
      <w:proofErr w:type="gramEnd"/>
      <w:r w:rsidRPr="00A552DE">
        <w:rPr>
          <w:rFonts w:ascii="Palatino Linotype" w:hAnsi="Palatino Linotype"/>
          <w:i/>
          <w:sz w:val="20"/>
          <w:szCs w:val="20"/>
        </w:rPr>
        <w:t xml:space="preserve"> Anexo III de la RT N° 41 (“no presenta</w:t>
      </w:r>
      <w:r w:rsidR="00F7693F" w:rsidRPr="00A552DE">
        <w:rPr>
          <w:rFonts w:ascii="Palatino Linotype" w:hAnsi="Palatino Linotype"/>
          <w:i/>
          <w:sz w:val="20"/>
          <w:szCs w:val="20"/>
        </w:rPr>
        <w:t>r</w:t>
      </w:r>
      <w:r w:rsidRPr="00A552DE">
        <w:rPr>
          <w:rFonts w:ascii="Palatino Linotype" w:hAnsi="Palatino Linotype"/>
          <w:i/>
          <w:sz w:val="20"/>
          <w:szCs w:val="20"/>
        </w:rPr>
        <w:t xml:space="preserve"> el requerimiento del inciso a) de la sección C.7. –Impuesto a las ganancias- del Capítulo VI –Información complementaria- de la RT N° 9”) podrá ser utilizada por todos los entes</w:t>
      </w:r>
      <w:r w:rsidR="000F75C6" w:rsidRPr="00A552DE">
        <w:rPr>
          <w:rFonts w:ascii="Palatino Linotype" w:hAnsi="Palatino Linotype"/>
          <w:i/>
          <w:sz w:val="20"/>
          <w:szCs w:val="20"/>
        </w:rPr>
        <w:t>.</w:t>
      </w:r>
      <w:r w:rsidR="000F75C6" w:rsidRPr="00A552DE">
        <w:rPr>
          <w:rStyle w:val="Refdenotaalpie"/>
          <w:rFonts w:ascii="Palatino Linotype" w:hAnsi="Palatino Linotype"/>
          <w:i/>
          <w:sz w:val="20"/>
          <w:szCs w:val="20"/>
        </w:rPr>
        <w:footnoteReference w:id="1"/>
      </w:r>
    </w:p>
    <w:p w:rsidR="00B57B52" w:rsidRPr="00A552DE" w:rsidRDefault="00B57B52" w:rsidP="00A552DE">
      <w:pPr>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lastRenderedPageBreak/>
        <w:t xml:space="preserve">4. OPCIONES ADMITIDAS POR LA RT N° 6 </w:t>
      </w:r>
    </w:p>
    <w:p w:rsidR="003610D5" w:rsidRPr="00A552DE" w:rsidRDefault="003610D5" w:rsidP="003610D5">
      <w:pPr>
        <w:jc w:val="both"/>
        <w:rPr>
          <w:rFonts w:ascii="Palatino Linotype" w:hAnsi="Palatino Linotype"/>
          <w:i/>
          <w:sz w:val="20"/>
          <w:szCs w:val="20"/>
        </w:rPr>
      </w:pPr>
      <w:r w:rsidRPr="00A552DE">
        <w:rPr>
          <w:rFonts w:ascii="Palatino Linotype" w:hAnsi="Palatino Linotype"/>
          <w:i/>
          <w:sz w:val="20"/>
          <w:szCs w:val="20"/>
        </w:rPr>
        <w:t xml:space="preserve">4.1. Con el objeto de facilitar su aplicación, se detallan las opciones admitidas por la RT N° 6 en su procedimiento de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w:t>
      </w:r>
    </w:p>
    <w:p w:rsidR="003610D5" w:rsidRPr="00A552DE" w:rsidRDefault="003610D5" w:rsidP="003610D5">
      <w:pPr>
        <w:pStyle w:val="Prrafodelista"/>
        <w:numPr>
          <w:ilvl w:val="0"/>
          <w:numId w:val="7"/>
        </w:numPr>
        <w:spacing w:after="0" w:line="240" w:lineRule="auto"/>
        <w:jc w:val="both"/>
        <w:rPr>
          <w:rFonts w:ascii="Palatino Linotype" w:hAnsi="Palatino Linotype"/>
          <w:i/>
          <w:sz w:val="20"/>
          <w:szCs w:val="20"/>
        </w:rPr>
      </w:pPr>
      <w:r w:rsidRPr="00A552DE">
        <w:rPr>
          <w:rFonts w:ascii="Palatino Linotype" w:hAnsi="Palatino Linotype"/>
          <w:i/>
          <w:sz w:val="20"/>
          <w:szCs w:val="20"/>
        </w:rPr>
        <w:t xml:space="preserve">En tanto no se generen distorsiones significativas, es aceptable descomponer el saldo de la cuenta en períodos mayores de un mes. Esto es particularmente aplicable a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de las partidas que componen las causas del estado de resultados, incluso mediante la aplicación de coeficientes de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anuales. </w:t>
      </w:r>
    </w:p>
    <w:p w:rsidR="003610D5" w:rsidRPr="00A552DE" w:rsidRDefault="003610D5" w:rsidP="003610D5">
      <w:pPr>
        <w:pStyle w:val="Prrafodelista"/>
        <w:spacing w:after="0" w:line="240" w:lineRule="auto"/>
        <w:ind w:left="1069"/>
        <w:jc w:val="both"/>
        <w:rPr>
          <w:rFonts w:ascii="Palatino Linotype" w:hAnsi="Palatino Linotype"/>
          <w:i/>
          <w:sz w:val="20"/>
          <w:szCs w:val="20"/>
        </w:rPr>
      </w:pPr>
    </w:p>
    <w:p w:rsidR="003610D5" w:rsidRPr="00A552DE" w:rsidRDefault="003610D5" w:rsidP="00A552DE">
      <w:pPr>
        <w:ind w:left="993" w:hanging="284"/>
        <w:jc w:val="both"/>
        <w:rPr>
          <w:rFonts w:ascii="Palatino Linotype" w:hAnsi="Palatino Linotype"/>
          <w:i/>
          <w:sz w:val="20"/>
          <w:szCs w:val="20"/>
        </w:rPr>
      </w:pPr>
      <w:r w:rsidRPr="00A552DE">
        <w:rPr>
          <w:rFonts w:ascii="Palatino Linotype" w:hAnsi="Palatino Linotype"/>
          <w:i/>
          <w:sz w:val="20"/>
          <w:szCs w:val="20"/>
        </w:rPr>
        <w:t>b) Se podrán determinar y presentar los resultados financieros y por tenencia (incluido el RECPAM) en una sola línea.</w:t>
      </w: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 xml:space="preserve">5. INFORMACIÓN A PRESENTAR </w:t>
      </w:r>
    </w:p>
    <w:p w:rsidR="003610D5" w:rsidRPr="00A552DE" w:rsidRDefault="003610D5" w:rsidP="003610D5">
      <w:pPr>
        <w:jc w:val="both"/>
        <w:rPr>
          <w:rFonts w:ascii="Palatino Linotype" w:hAnsi="Palatino Linotype"/>
          <w:i/>
          <w:sz w:val="20"/>
          <w:szCs w:val="20"/>
        </w:rPr>
      </w:pPr>
      <w:r w:rsidRPr="00A552DE">
        <w:rPr>
          <w:rFonts w:ascii="Palatino Linotype" w:hAnsi="Palatino Linotype"/>
          <w:i/>
          <w:sz w:val="20"/>
          <w:szCs w:val="20"/>
        </w:rPr>
        <w:t xml:space="preserve">5.1. En relación con las simplificaciones detalladas en esta resolución, el ente deberá informar en notas: </w:t>
      </w:r>
    </w:p>
    <w:p w:rsidR="003610D5" w:rsidRPr="00A552DE" w:rsidRDefault="003610D5" w:rsidP="003610D5">
      <w:pPr>
        <w:pStyle w:val="Prrafodelista"/>
        <w:numPr>
          <w:ilvl w:val="0"/>
          <w:numId w:val="8"/>
        </w:numPr>
        <w:spacing w:after="0" w:line="240" w:lineRule="auto"/>
        <w:jc w:val="both"/>
        <w:rPr>
          <w:rFonts w:ascii="Palatino Linotype" w:hAnsi="Palatino Linotype"/>
          <w:i/>
          <w:sz w:val="20"/>
          <w:szCs w:val="20"/>
        </w:rPr>
      </w:pPr>
      <w:r w:rsidRPr="00A552DE">
        <w:rPr>
          <w:rFonts w:ascii="Palatino Linotype" w:hAnsi="Palatino Linotype"/>
          <w:i/>
          <w:sz w:val="20"/>
          <w:szCs w:val="20"/>
        </w:rPr>
        <w:t xml:space="preserve">las simplificaciones que ha utilizado; y </w:t>
      </w:r>
    </w:p>
    <w:p w:rsidR="003610D5" w:rsidRPr="00A552DE" w:rsidRDefault="003610D5" w:rsidP="003610D5">
      <w:pPr>
        <w:pStyle w:val="Prrafodelista"/>
        <w:ind w:left="1069"/>
        <w:jc w:val="both"/>
        <w:rPr>
          <w:rFonts w:ascii="Palatino Linotype" w:hAnsi="Palatino Linotype"/>
          <w:i/>
          <w:sz w:val="20"/>
          <w:szCs w:val="20"/>
        </w:rPr>
      </w:pPr>
    </w:p>
    <w:p w:rsidR="003610D5" w:rsidRPr="00A552DE" w:rsidRDefault="003610D5" w:rsidP="003610D5">
      <w:pPr>
        <w:pStyle w:val="Prrafodelista"/>
        <w:numPr>
          <w:ilvl w:val="0"/>
          <w:numId w:val="8"/>
        </w:numPr>
        <w:spacing w:after="0" w:line="240" w:lineRule="auto"/>
        <w:jc w:val="both"/>
        <w:rPr>
          <w:rFonts w:ascii="Palatino Linotype" w:hAnsi="Palatino Linotype"/>
          <w:i/>
          <w:sz w:val="20"/>
          <w:szCs w:val="20"/>
        </w:rPr>
      </w:pPr>
      <w:r w:rsidRPr="00A552DE">
        <w:rPr>
          <w:rFonts w:ascii="Palatino Linotype" w:hAnsi="Palatino Linotype"/>
          <w:i/>
          <w:sz w:val="20"/>
          <w:szCs w:val="20"/>
        </w:rPr>
        <w:t xml:space="preserve">las limitaciones que esa utilización podría provocar en la información contenida en los estados contables. </w:t>
      </w:r>
    </w:p>
    <w:p w:rsidR="003610D5" w:rsidRPr="00A552DE" w:rsidRDefault="003610D5" w:rsidP="003610D5">
      <w:pPr>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5.2. No aplicable en jurisdicción del Consejo Profesional de Ciencias Económicas de la Provincia de Buenos Aires atento a la vigencia establecida por el Art. 1° de la Resolución MD N° 2883.</w:t>
      </w: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t>5.3. No aplicable en jurisdicción del Consejo Profesional de Ciencias Económicas de la Provincia de Buenos Aires atento a la vigencia establecida por el Art. 1° de la Resolución M</w:t>
      </w:r>
      <w:bookmarkStart w:id="0" w:name="_GoBack"/>
      <w:bookmarkEnd w:id="0"/>
      <w:r w:rsidRPr="00A552DE">
        <w:rPr>
          <w:rFonts w:ascii="Palatino Linotype" w:hAnsi="Palatino Linotype"/>
          <w:b/>
          <w:i/>
          <w:sz w:val="20"/>
          <w:szCs w:val="20"/>
        </w:rPr>
        <w:t>D N° 2883.</w:t>
      </w:r>
    </w:p>
    <w:p w:rsidR="00B57B52" w:rsidRDefault="003610D5" w:rsidP="003610D5">
      <w:pPr>
        <w:jc w:val="both"/>
        <w:rPr>
          <w:rFonts w:ascii="Palatino Linotype" w:hAnsi="Palatino Linotype"/>
          <w:i/>
          <w:sz w:val="20"/>
          <w:szCs w:val="20"/>
        </w:rPr>
      </w:pPr>
      <w:r w:rsidRPr="00A552DE">
        <w:rPr>
          <w:rFonts w:ascii="Palatino Linotype" w:hAnsi="Palatino Linotype"/>
          <w:i/>
          <w:sz w:val="20"/>
          <w:szCs w:val="20"/>
        </w:rPr>
        <w:t xml:space="preserve">5.4. En los estados contables donde se realice el ajuste por inflación, el ente deberá dar cumplimiento a todos los requerimientos de notas incluidos en la RT N° 6 y de las normas que incluyan requerimientos de exposición e información a presentar relacionados con la </w:t>
      </w:r>
      <w:proofErr w:type="spellStart"/>
      <w:r w:rsidRPr="00A552DE">
        <w:rPr>
          <w:rFonts w:ascii="Palatino Linotype" w:hAnsi="Palatino Linotype"/>
          <w:i/>
          <w:sz w:val="20"/>
          <w:szCs w:val="20"/>
        </w:rPr>
        <w:t>reexpresión</w:t>
      </w:r>
      <w:proofErr w:type="spellEnd"/>
      <w:r w:rsidRPr="00A552DE">
        <w:rPr>
          <w:rFonts w:ascii="Palatino Linotype" w:hAnsi="Palatino Linotype"/>
          <w:i/>
          <w:sz w:val="20"/>
          <w:szCs w:val="20"/>
        </w:rPr>
        <w:t xml:space="preserve"> de los estados contables en moneda homogénea</w:t>
      </w:r>
      <w:r w:rsidR="00352C1D" w:rsidRPr="00A552DE">
        <w:rPr>
          <w:rFonts w:ascii="Palatino Linotype" w:hAnsi="Palatino Linotype"/>
          <w:i/>
          <w:sz w:val="20"/>
          <w:szCs w:val="20"/>
        </w:rPr>
        <w:t>, excepto cuando el ente hago uso de alguna opción de esta resolución que le permita no presentar determinada información (por ejemplo, no presentar información comparativa en determinadas situaciones).</w:t>
      </w:r>
      <w:r w:rsidRPr="00A552DE">
        <w:rPr>
          <w:rFonts w:ascii="Palatino Linotype" w:hAnsi="Palatino Linotype"/>
          <w:i/>
          <w:sz w:val="20"/>
          <w:szCs w:val="20"/>
        </w:rPr>
        <w:t xml:space="preserve"> </w:t>
      </w:r>
    </w:p>
    <w:p w:rsidR="00A552DE" w:rsidRPr="00A552DE" w:rsidRDefault="00A552DE" w:rsidP="003610D5">
      <w:pPr>
        <w:jc w:val="both"/>
        <w:rPr>
          <w:rFonts w:ascii="Palatino Linotype" w:hAnsi="Palatino Linotype"/>
          <w:i/>
          <w:sz w:val="20"/>
          <w:szCs w:val="20"/>
        </w:rPr>
      </w:pPr>
    </w:p>
    <w:p w:rsidR="003610D5" w:rsidRPr="00A552DE" w:rsidRDefault="003610D5" w:rsidP="003610D5">
      <w:pPr>
        <w:jc w:val="both"/>
        <w:rPr>
          <w:rFonts w:ascii="Palatino Linotype" w:hAnsi="Palatino Linotype"/>
          <w:b/>
          <w:i/>
          <w:sz w:val="20"/>
          <w:szCs w:val="20"/>
        </w:rPr>
      </w:pPr>
      <w:r w:rsidRPr="00A552DE">
        <w:rPr>
          <w:rFonts w:ascii="Palatino Linotype" w:hAnsi="Palatino Linotype"/>
          <w:b/>
          <w:i/>
          <w:sz w:val="20"/>
          <w:szCs w:val="20"/>
        </w:rPr>
        <w:lastRenderedPageBreak/>
        <w:t>6. OPCI</w:t>
      </w:r>
      <w:r w:rsidR="00F7693F" w:rsidRPr="00A552DE">
        <w:rPr>
          <w:rFonts w:ascii="Palatino Linotype" w:hAnsi="Palatino Linotype"/>
          <w:b/>
          <w:i/>
          <w:sz w:val="20"/>
          <w:szCs w:val="20"/>
        </w:rPr>
        <w:t>Ó</w:t>
      </w:r>
      <w:r w:rsidRPr="00A552DE">
        <w:rPr>
          <w:rFonts w:ascii="Palatino Linotype" w:hAnsi="Palatino Linotype"/>
          <w:b/>
          <w:i/>
          <w:sz w:val="20"/>
          <w:szCs w:val="20"/>
        </w:rPr>
        <w:t xml:space="preserve">N </w:t>
      </w:r>
      <w:r w:rsidR="00E12564" w:rsidRPr="00A552DE">
        <w:rPr>
          <w:rFonts w:ascii="Palatino Linotype" w:hAnsi="Palatino Linotype"/>
          <w:b/>
          <w:i/>
          <w:sz w:val="20"/>
          <w:szCs w:val="20"/>
        </w:rPr>
        <w:t>EN RELACIÓN CON EL ESTADO DE FLUJO DE EFECTIVO</w:t>
      </w:r>
      <w:r w:rsidR="002B16D6" w:rsidRPr="00A552DE">
        <w:rPr>
          <w:rFonts w:ascii="Palatino Linotype" w:hAnsi="Palatino Linotype"/>
          <w:b/>
          <w:i/>
          <w:sz w:val="20"/>
          <w:szCs w:val="20"/>
        </w:rPr>
        <w:t xml:space="preserve"> PREPARADO POR EL MÉTODO DIRECTO</w:t>
      </w:r>
    </w:p>
    <w:p w:rsidR="003610D5" w:rsidRPr="00A552DE" w:rsidRDefault="003610D5" w:rsidP="003610D5">
      <w:pPr>
        <w:jc w:val="both"/>
        <w:rPr>
          <w:rFonts w:ascii="Palatino Linotype" w:hAnsi="Palatino Linotype"/>
          <w:i/>
          <w:sz w:val="20"/>
          <w:szCs w:val="20"/>
        </w:rPr>
      </w:pPr>
      <w:r w:rsidRPr="00A552DE">
        <w:rPr>
          <w:rFonts w:ascii="Palatino Linotype" w:hAnsi="Palatino Linotype"/>
          <w:i/>
          <w:sz w:val="20"/>
          <w:szCs w:val="20"/>
        </w:rPr>
        <w:t xml:space="preserve">6.1. </w:t>
      </w:r>
      <w:r w:rsidR="00136011" w:rsidRPr="00A552DE">
        <w:rPr>
          <w:rFonts w:ascii="Palatino Linotype" w:hAnsi="Palatino Linotype"/>
          <w:i/>
          <w:sz w:val="20"/>
          <w:szCs w:val="20"/>
        </w:rPr>
        <w:t>Todos los entes</w:t>
      </w:r>
      <w:r w:rsidRPr="00A552DE">
        <w:rPr>
          <w:rFonts w:ascii="Palatino Linotype" w:hAnsi="Palatino Linotype"/>
          <w:i/>
          <w:sz w:val="20"/>
          <w:szCs w:val="20"/>
        </w:rPr>
        <w:t>,</w:t>
      </w:r>
      <w:r w:rsidR="00136011" w:rsidRPr="00A552DE">
        <w:rPr>
          <w:rFonts w:ascii="Palatino Linotype" w:hAnsi="Palatino Linotype"/>
          <w:i/>
          <w:sz w:val="20"/>
          <w:szCs w:val="20"/>
        </w:rPr>
        <w:t xml:space="preserve"> excepto los que apliquen conjuntamente la RT N° 17 con la RT N° 11, o la RT N° 17 con la RT N° 24</w:t>
      </w:r>
      <w:r w:rsidR="000F75C6" w:rsidRPr="00A552DE">
        <w:rPr>
          <w:rStyle w:val="Refdenotaalpie"/>
          <w:rFonts w:ascii="Palatino Linotype" w:hAnsi="Palatino Linotype"/>
          <w:i/>
          <w:sz w:val="20"/>
          <w:szCs w:val="20"/>
        </w:rPr>
        <w:footnoteReference w:id="2"/>
      </w:r>
      <w:r w:rsidR="00136011" w:rsidRPr="00A552DE">
        <w:rPr>
          <w:rFonts w:ascii="Palatino Linotype" w:hAnsi="Palatino Linotype"/>
          <w:i/>
          <w:sz w:val="20"/>
          <w:szCs w:val="20"/>
        </w:rPr>
        <w:t>,</w:t>
      </w:r>
      <w:r w:rsidRPr="00A552DE">
        <w:rPr>
          <w:rFonts w:ascii="Palatino Linotype" w:hAnsi="Palatino Linotype"/>
          <w:i/>
          <w:sz w:val="20"/>
          <w:szCs w:val="20"/>
        </w:rPr>
        <w:t xml:space="preserve"> cuando preparen el estado de flujo de efectivo por el método directo, podrán presentar la información ajustada por inflación en forma sintética, con los renglones mínimos siguientes: </w:t>
      </w:r>
    </w:p>
    <w:p w:rsidR="003610D5" w:rsidRPr="00A552DE" w:rsidRDefault="003610D5" w:rsidP="002B16D6">
      <w:pPr>
        <w:pStyle w:val="Prrafodelista"/>
        <w:numPr>
          <w:ilvl w:val="0"/>
          <w:numId w:val="15"/>
        </w:numPr>
        <w:spacing w:after="0" w:line="240" w:lineRule="auto"/>
        <w:jc w:val="both"/>
        <w:rPr>
          <w:rFonts w:ascii="Palatino Linotype" w:hAnsi="Palatino Linotype"/>
          <w:i/>
          <w:sz w:val="20"/>
          <w:szCs w:val="20"/>
        </w:rPr>
      </w:pPr>
      <w:r w:rsidRPr="00A552DE">
        <w:rPr>
          <w:rFonts w:ascii="Palatino Linotype" w:hAnsi="Palatino Linotype"/>
          <w:i/>
          <w:sz w:val="20"/>
          <w:szCs w:val="20"/>
        </w:rPr>
        <w:t xml:space="preserve">saldo al inicio; </w:t>
      </w:r>
    </w:p>
    <w:p w:rsidR="003610D5" w:rsidRPr="00A552DE" w:rsidRDefault="003610D5" w:rsidP="002B16D6">
      <w:pPr>
        <w:pStyle w:val="Prrafodelista"/>
        <w:numPr>
          <w:ilvl w:val="0"/>
          <w:numId w:val="15"/>
        </w:numPr>
        <w:spacing w:after="0" w:line="240" w:lineRule="auto"/>
        <w:jc w:val="both"/>
        <w:rPr>
          <w:rFonts w:ascii="Palatino Linotype" w:hAnsi="Palatino Linotype"/>
          <w:i/>
          <w:sz w:val="20"/>
          <w:szCs w:val="20"/>
        </w:rPr>
      </w:pPr>
      <w:r w:rsidRPr="00A552DE">
        <w:rPr>
          <w:rFonts w:ascii="Palatino Linotype" w:hAnsi="Palatino Linotype"/>
          <w:i/>
          <w:sz w:val="20"/>
          <w:szCs w:val="20"/>
        </w:rPr>
        <w:t>saldo al cierre;</w:t>
      </w:r>
    </w:p>
    <w:p w:rsidR="003610D5" w:rsidRPr="00A552DE" w:rsidRDefault="003610D5" w:rsidP="002B16D6">
      <w:pPr>
        <w:pStyle w:val="Prrafodelista"/>
        <w:numPr>
          <w:ilvl w:val="0"/>
          <w:numId w:val="15"/>
        </w:numPr>
        <w:spacing w:after="0" w:line="240" w:lineRule="auto"/>
        <w:jc w:val="both"/>
        <w:rPr>
          <w:rFonts w:ascii="Palatino Linotype" w:hAnsi="Palatino Linotype"/>
          <w:i/>
          <w:sz w:val="20"/>
          <w:szCs w:val="20"/>
        </w:rPr>
      </w:pPr>
      <w:r w:rsidRPr="00A552DE">
        <w:rPr>
          <w:rFonts w:ascii="Palatino Linotype" w:hAnsi="Palatino Linotype"/>
          <w:i/>
          <w:sz w:val="20"/>
          <w:szCs w:val="20"/>
        </w:rPr>
        <w:t xml:space="preserve">variación en el ejercicio; y </w:t>
      </w:r>
    </w:p>
    <w:p w:rsidR="003610D5" w:rsidRPr="00A552DE" w:rsidRDefault="003610D5" w:rsidP="002B16D6">
      <w:pPr>
        <w:pStyle w:val="Prrafodelista"/>
        <w:numPr>
          <w:ilvl w:val="0"/>
          <w:numId w:val="15"/>
        </w:numPr>
        <w:spacing w:after="0" w:line="240" w:lineRule="auto"/>
        <w:jc w:val="both"/>
        <w:rPr>
          <w:rFonts w:ascii="Palatino Linotype" w:hAnsi="Palatino Linotype"/>
          <w:i/>
          <w:sz w:val="20"/>
          <w:szCs w:val="20"/>
        </w:rPr>
      </w:pPr>
      <w:r w:rsidRPr="00A552DE">
        <w:rPr>
          <w:rFonts w:ascii="Palatino Linotype" w:hAnsi="Palatino Linotype"/>
          <w:i/>
          <w:sz w:val="20"/>
          <w:szCs w:val="20"/>
        </w:rPr>
        <w:t>explicación de las causas a nivel de totales (operativas, financiación, inversión).</w:t>
      </w:r>
    </w:p>
    <w:p w:rsidR="003610D5" w:rsidRPr="00A552DE" w:rsidRDefault="003610D5" w:rsidP="003610D5">
      <w:pPr>
        <w:pStyle w:val="Prrafodelista"/>
        <w:rPr>
          <w:rFonts w:ascii="Palatino Linotype" w:hAnsi="Palatino Linotype"/>
          <w:i/>
          <w:sz w:val="20"/>
          <w:szCs w:val="20"/>
        </w:rPr>
      </w:pPr>
    </w:p>
    <w:p w:rsidR="00201CFC" w:rsidRPr="00A552DE" w:rsidRDefault="002B16D6" w:rsidP="00506B18">
      <w:pPr>
        <w:jc w:val="both"/>
        <w:rPr>
          <w:rFonts w:ascii="Palatino Linotype" w:hAnsi="Palatino Linotype"/>
          <w:b/>
          <w:i/>
          <w:sz w:val="20"/>
          <w:szCs w:val="20"/>
        </w:rPr>
      </w:pPr>
      <w:r w:rsidRPr="00A552DE">
        <w:rPr>
          <w:rFonts w:ascii="Palatino Linotype" w:hAnsi="Palatino Linotype"/>
          <w:b/>
          <w:i/>
          <w:sz w:val="20"/>
          <w:szCs w:val="20"/>
        </w:rPr>
        <w:t>7. ENTES PEQUEÑOS Y MEDIANOS: OPCI</w:t>
      </w:r>
      <w:r w:rsidR="00F7693F" w:rsidRPr="00A552DE">
        <w:rPr>
          <w:rFonts w:ascii="Palatino Linotype" w:hAnsi="Palatino Linotype"/>
          <w:b/>
          <w:i/>
          <w:sz w:val="20"/>
          <w:szCs w:val="20"/>
        </w:rPr>
        <w:t>Ó</w:t>
      </w:r>
      <w:r w:rsidRPr="00A552DE">
        <w:rPr>
          <w:rFonts w:ascii="Palatino Linotype" w:hAnsi="Palatino Linotype"/>
          <w:b/>
          <w:i/>
          <w:sz w:val="20"/>
          <w:szCs w:val="20"/>
        </w:rPr>
        <w:t xml:space="preserve">N DE REALIZAR EL AJUSTE GLOBAL </w:t>
      </w:r>
      <w:r w:rsidR="00942D1C" w:rsidRPr="00A552DE">
        <w:rPr>
          <w:rFonts w:ascii="Palatino Linotype" w:hAnsi="Palatino Linotype"/>
          <w:b/>
          <w:i/>
          <w:sz w:val="20"/>
          <w:szCs w:val="20"/>
        </w:rPr>
        <w:t>DEL</w:t>
      </w:r>
      <w:r w:rsidRPr="00A552DE">
        <w:rPr>
          <w:rFonts w:ascii="Palatino Linotype" w:hAnsi="Palatino Linotype"/>
          <w:b/>
          <w:i/>
          <w:sz w:val="20"/>
          <w:szCs w:val="20"/>
        </w:rPr>
        <w:t xml:space="preserve"> RESULTADO</w:t>
      </w:r>
      <w:r w:rsidR="00942D1C" w:rsidRPr="00A552DE">
        <w:rPr>
          <w:rFonts w:ascii="Palatino Linotype" w:hAnsi="Palatino Linotype"/>
          <w:b/>
          <w:i/>
          <w:sz w:val="20"/>
          <w:szCs w:val="20"/>
        </w:rPr>
        <w:t xml:space="preserve"> DEL PERÍODO/EJERCICIO.</w:t>
      </w:r>
    </w:p>
    <w:p w:rsidR="003610D5" w:rsidRPr="00A552DE" w:rsidRDefault="00201CFC" w:rsidP="003610D5">
      <w:pPr>
        <w:jc w:val="both"/>
        <w:rPr>
          <w:rFonts w:ascii="Palatino Linotype" w:hAnsi="Palatino Linotype"/>
          <w:i/>
          <w:iCs/>
          <w:sz w:val="20"/>
          <w:szCs w:val="20"/>
        </w:rPr>
      </w:pPr>
      <w:r w:rsidRPr="00A552DE">
        <w:rPr>
          <w:rFonts w:ascii="Palatino Linotype" w:hAnsi="Palatino Linotype"/>
          <w:i/>
          <w:sz w:val="20"/>
          <w:szCs w:val="20"/>
        </w:rPr>
        <w:t>7</w:t>
      </w:r>
      <w:r w:rsidR="003610D5" w:rsidRPr="00A552DE">
        <w:rPr>
          <w:rFonts w:ascii="Palatino Linotype" w:hAnsi="Palatino Linotype"/>
          <w:i/>
          <w:sz w:val="20"/>
          <w:szCs w:val="20"/>
        </w:rPr>
        <w:t>.</w:t>
      </w:r>
      <w:r w:rsidR="00942D1C" w:rsidRPr="00A552DE">
        <w:rPr>
          <w:rFonts w:ascii="Palatino Linotype" w:hAnsi="Palatino Linotype"/>
          <w:i/>
          <w:sz w:val="20"/>
          <w:szCs w:val="20"/>
        </w:rPr>
        <w:t>1.</w:t>
      </w:r>
      <w:r w:rsidR="003610D5" w:rsidRPr="00A552DE">
        <w:rPr>
          <w:rFonts w:ascii="Palatino Linotype" w:hAnsi="Palatino Linotype"/>
          <w:i/>
          <w:sz w:val="20"/>
          <w:szCs w:val="20"/>
        </w:rPr>
        <w:t xml:space="preserve">  Los </w:t>
      </w:r>
      <w:r w:rsidR="00942D1C" w:rsidRPr="00A552DE">
        <w:rPr>
          <w:rFonts w:ascii="Palatino Linotype" w:hAnsi="Palatino Linotype"/>
          <w:i/>
          <w:sz w:val="20"/>
          <w:szCs w:val="20"/>
        </w:rPr>
        <w:t>Entes Pequeños y los Entes Medianos</w:t>
      </w:r>
      <w:r w:rsidR="003610D5" w:rsidRPr="00A552DE">
        <w:rPr>
          <w:rFonts w:ascii="Palatino Linotype" w:hAnsi="Palatino Linotype"/>
          <w:i/>
          <w:sz w:val="20"/>
          <w:szCs w:val="20"/>
        </w:rPr>
        <w:t xml:space="preserve"> podrán </w:t>
      </w:r>
      <w:r w:rsidR="003610D5" w:rsidRPr="00A552DE">
        <w:rPr>
          <w:rFonts w:ascii="Palatino Linotype" w:hAnsi="Palatino Linotype"/>
          <w:i/>
          <w:iCs/>
          <w:sz w:val="20"/>
          <w:szCs w:val="20"/>
        </w:rPr>
        <w:t xml:space="preserve">efectuar la </w:t>
      </w:r>
      <w:proofErr w:type="spellStart"/>
      <w:r w:rsidR="003610D5" w:rsidRPr="00A552DE">
        <w:rPr>
          <w:rFonts w:ascii="Palatino Linotype" w:hAnsi="Palatino Linotype"/>
          <w:i/>
          <w:iCs/>
          <w:sz w:val="20"/>
          <w:szCs w:val="20"/>
        </w:rPr>
        <w:t>reexpresión</w:t>
      </w:r>
      <w:proofErr w:type="spellEnd"/>
      <w:r w:rsidR="003610D5" w:rsidRPr="00A552DE">
        <w:rPr>
          <w:rFonts w:ascii="Palatino Linotype" w:hAnsi="Palatino Linotype"/>
          <w:i/>
          <w:iCs/>
          <w:sz w:val="20"/>
          <w:szCs w:val="20"/>
        </w:rPr>
        <w:t xml:space="preserve"> del estado de resultados mediante la inclusión de una sola partida cuyo importe se determine por diferencia entre el resultado del período </w:t>
      </w:r>
      <w:proofErr w:type="spellStart"/>
      <w:r w:rsidR="003610D5" w:rsidRPr="00A552DE">
        <w:rPr>
          <w:rFonts w:ascii="Palatino Linotype" w:hAnsi="Palatino Linotype"/>
          <w:i/>
          <w:iCs/>
          <w:sz w:val="20"/>
          <w:szCs w:val="20"/>
        </w:rPr>
        <w:t>reexpresado</w:t>
      </w:r>
      <w:proofErr w:type="spellEnd"/>
      <w:r w:rsidR="003610D5" w:rsidRPr="00A552DE">
        <w:rPr>
          <w:rFonts w:ascii="Palatino Linotype" w:hAnsi="Palatino Linotype"/>
          <w:i/>
          <w:iCs/>
          <w:sz w:val="20"/>
          <w:szCs w:val="20"/>
        </w:rPr>
        <w:t xml:space="preserve"> en moneda de cierre y dicho resultado surgido del estado de resultados sin </w:t>
      </w:r>
      <w:proofErr w:type="spellStart"/>
      <w:r w:rsidR="003610D5" w:rsidRPr="00A552DE">
        <w:rPr>
          <w:rFonts w:ascii="Palatino Linotype" w:hAnsi="Palatino Linotype"/>
          <w:i/>
          <w:iCs/>
          <w:sz w:val="20"/>
          <w:szCs w:val="20"/>
        </w:rPr>
        <w:t>reexpresar</w:t>
      </w:r>
      <w:proofErr w:type="spellEnd"/>
      <w:r w:rsidR="003610D5" w:rsidRPr="00A552DE">
        <w:rPr>
          <w:rFonts w:ascii="Palatino Linotype" w:hAnsi="Palatino Linotype"/>
          <w:i/>
          <w:iCs/>
          <w:sz w:val="20"/>
          <w:szCs w:val="20"/>
        </w:rPr>
        <w:t>; denominándose la partida “Ajuste Global del resultado del período (o ejercicio)”. Si se aplica esta simplificación el auditor que dictamina sobre los estados contables deberá incluir en su informe un Párrafo de Énfasis indicando el efecto que su utilización produce.</w:t>
      </w:r>
    </w:p>
    <w:p w:rsidR="000F75C6" w:rsidRPr="00A552DE" w:rsidRDefault="00942D1C" w:rsidP="003610D5">
      <w:pPr>
        <w:jc w:val="both"/>
        <w:rPr>
          <w:rFonts w:ascii="Palatino Linotype" w:hAnsi="Palatino Linotype"/>
          <w:i/>
          <w:iCs/>
          <w:sz w:val="20"/>
          <w:szCs w:val="20"/>
        </w:rPr>
      </w:pPr>
      <w:r w:rsidRPr="00A552DE">
        <w:rPr>
          <w:rFonts w:ascii="Palatino Linotype" w:hAnsi="Palatino Linotype"/>
          <w:i/>
          <w:iCs/>
          <w:sz w:val="20"/>
          <w:szCs w:val="20"/>
        </w:rPr>
        <w:t xml:space="preserve">7.2. La opción de efectuar el Ajuste Global del Resultado del Período (o </w:t>
      </w:r>
      <w:r w:rsidR="00197DC4">
        <w:rPr>
          <w:rFonts w:ascii="Palatino Linotype" w:hAnsi="Palatino Linotype"/>
          <w:i/>
          <w:iCs/>
          <w:sz w:val="20"/>
          <w:szCs w:val="20"/>
        </w:rPr>
        <w:t>E</w:t>
      </w:r>
      <w:r w:rsidRPr="00A552DE">
        <w:rPr>
          <w:rFonts w:ascii="Palatino Linotype" w:hAnsi="Palatino Linotype"/>
          <w:i/>
          <w:iCs/>
          <w:sz w:val="20"/>
          <w:szCs w:val="20"/>
        </w:rPr>
        <w:t xml:space="preserve">jercicio) será </w:t>
      </w:r>
      <w:r w:rsidRPr="00A552DE">
        <w:rPr>
          <w:rFonts w:ascii="Palatino Linotype" w:hAnsi="Palatino Linotype"/>
          <w:i/>
          <w:sz w:val="20"/>
          <w:szCs w:val="20"/>
        </w:rPr>
        <w:t>elegible por parte del ente en los primeros dos ejercicios, y sus correspondientes períodos intermedios, de aplicación del ajuste por inflación de acuerdo con esta resolución</w:t>
      </w:r>
      <w:r w:rsidRPr="00A552DE">
        <w:rPr>
          <w:rFonts w:ascii="Palatino Linotype" w:hAnsi="Palatino Linotype"/>
          <w:i/>
          <w:iCs/>
          <w:sz w:val="20"/>
          <w:szCs w:val="20"/>
        </w:rPr>
        <w:t>.</w:t>
      </w:r>
    </w:p>
    <w:p w:rsidR="003610D5" w:rsidRPr="00A552DE" w:rsidRDefault="00201CFC" w:rsidP="003610D5">
      <w:pPr>
        <w:jc w:val="both"/>
        <w:rPr>
          <w:rFonts w:ascii="Palatino Linotype" w:hAnsi="Palatino Linotype"/>
          <w:b/>
          <w:i/>
          <w:sz w:val="20"/>
          <w:szCs w:val="20"/>
        </w:rPr>
      </w:pPr>
      <w:r w:rsidRPr="00A552DE">
        <w:rPr>
          <w:rFonts w:ascii="Palatino Linotype" w:hAnsi="Palatino Linotype"/>
          <w:b/>
          <w:i/>
          <w:sz w:val="20"/>
          <w:szCs w:val="20"/>
        </w:rPr>
        <w:t>8</w:t>
      </w:r>
      <w:r w:rsidR="003610D5" w:rsidRPr="00A552DE">
        <w:rPr>
          <w:rFonts w:ascii="Palatino Linotype" w:hAnsi="Palatino Linotype"/>
          <w:b/>
          <w:i/>
          <w:sz w:val="20"/>
          <w:szCs w:val="20"/>
        </w:rPr>
        <w:t xml:space="preserve">. APLICACIÓN DE LA RT N° 48 Y DE LA RT N° 6 </w:t>
      </w:r>
    </w:p>
    <w:p w:rsidR="003610D5" w:rsidRPr="00A552DE" w:rsidRDefault="00201CFC" w:rsidP="003610D5">
      <w:pPr>
        <w:jc w:val="both"/>
        <w:rPr>
          <w:rFonts w:ascii="Palatino Linotype" w:hAnsi="Palatino Linotype"/>
          <w:i/>
          <w:sz w:val="20"/>
          <w:szCs w:val="20"/>
        </w:rPr>
      </w:pPr>
      <w:r w:rsidRPr="00A552DE">
        <w:rPr>
          <w:rFonts w:ascii="Palatino Linotype" w:hAnsi="Palatino Linotype"/>
          <w:i/>
          <w:sz w:val="20"/>
          <w:szCs w:val="20"/>
        </w:rPr>
        <w:t>8</w:t>
      </w:r>
      <w:r w:rsidR="003610D5" w:rsidRPr="00A552DE">
        <w:rPr>
          <w:rFonts w:ascii="Palatino Linotype" w:hAnsi="Palatino Linotype"/>
          <w:i/>
          <w:sz w:val="20"/>
          <w:szCs w:val="20"/>
        </w:rPr>
        <w:t>.1. La RT N° 48 y la RT N° 6 tienen una interrelación en su aplicación.</w:t>
      </w:r>
    </w:p>
    <w:p w:rsidR="003610D5" w:rsidRDefault="00201CFC" w:rsidP="003610D5">
      <w:pPr>
        <w:jc w:val="both"/>
        <w:rPr>
          <w:rFonts w:ascii="Palatino Linotype" w:hAnsi="Palatino Linotype"/>
          <w:i/>
          <w:sz w:val="20"/>
          <w:szCs w:val="20"/>
        </w:rPr>
      </w:pPr>
      <w:r w:rsidRPr="00A552DE">
        <w:rPr>
          <w:rFonts w:ascii="Palatino Linotype" w:hAnsi="Palatino Linotype"/>
          <w:i/>
          <w:sz w:val="20"/>
          <w:szCs w:val="20"/>
        </w:rPr>
        <w:t>8</w:t>
      </w:r>
      <w:r w:rsidR="003610D5" w:rsidRPr="00A552DE">
        <w:rPr>
          <w:rFonts w:ascii="Palatino Linotype" w:hAnsi="Palatino Linotype"/>
          <w:i/>
          <w:sz w:val="20"/>
          <w:szCs w:val="20"/>
        </w:rPr>
        <w:t xml:space="preserve">.2. Los importes que surjan por aplicación de la Resolución Técnica N° 48 “Remedición de activos” deberán considerarse como importes expresados en moneda de poder adquisitivo del momento al que se refiere la remedición, a los efectos de su </w:t>
      </w:r>
      <w:proofErr w:type="spellStart"/>
      <w:r w:rsidR="003610D5" w:rsidRPr="00A552DE">
        <w:rPr>
          <w:rFonts w:ascii="Palatino Linotype" w:hAnsi="Palatino Linotype"/>
          <w:i/>
          <w:sz w:val="20"/>
          <w:szCs w:val="20"/>
        </w:rPr>
        <w:t>reexpresión</w:t>
      </w:r>
      <w:proofErr w:type="spellEnd"/>
      <w:r w:rsidR="003610D5" w:rsidRPr="00A552DE">
        <w:rPr>
          <w:rFonts w:ascii="Palatino Linotype" w:hAnsi="Palatino Linotype"/>
          <w:i/>
          <w:sz w:val="20"/>
          <w:szCs w:val="20"/>
        </w:rPr>
        <w:t xml:space="preserve"> desde ese momento y a partir de esos importes. </w:t>
      </w:r>
    </w:p>
    <w:p w:rsidR="00A552DE" w:rsidRPr="00A552DE" w:rsidRDefault="00A552DE" w:rsidP="003610D5">
      <w:pPr>
        <w:jc w:val="both"/>
        <w:rPr>
          <w:rFonts w:ascii="Palatino Linotype" w:hAnsi="Palatino Linotype"/>
          <w:i/>
          <w:sz w:val="20"/>
          <w:szCs w:val="20"/>
        </w:rPr>
      </w:pPr>
    </w:p>
    <w:p w:rsidR="003610D5" w:rsidRPr="00A552DE" w:rsidRDefault="00201CFC" w:rsidP="003610D5">
      <w:pPr>
        <w:jc w:val="both"/>
        <w:rPr>
          <w:rFonts w:ascii="Palatino Linotype" w:hAnsi="Palatino Linotype"/>
          <w:b/>
          <w:i/>
          <w:sz w:val="20"/>
          <w:szCs w:val="20"/>
        </w:rPr>
      </w:pPr>
      <w:r w:rsidRPr="00A552DE">
        <w:rPr>
          <w:rFonts w:ascii="Palatino Linotype" w:hAnsi="Palatino Linotype"/>
          <w:b/>
          <w:i/>
          <w:sz w:val="20"/>
          <w:szCs w:val="20"/>
        </w:rPr>
        <w:lastRenderedPageBreak/>
        <w:t>9</w:t>
      </w:r>
      <w:r w:rsidR="003610D5" w:rsidRPr="00A552DE">
        <w:rPr>
          <w:rFonts w:ascii="Palatino Linotype" w:hAnsi="Palatino Linotype"/>
          <w:b/>
          <w:i/>
          <w:sz w:val="20"/>
          <w:szCs w:val="20"/>
        </w:rPr>
        <w:t>. DESAGREGACIÓN DE COMPONENTES FINANCIEROS IMPLÍCITOS</w:t>
      </w:r>
    </w:p>
    <w:p w:rsidR="003610D5" w:rsidRPr="00A552DE" w:rsidRDefault="00201CFC" w:rsidP="003610D5">
      <w:pPr>
        <w:jc w:val="both"/>
        <w:rPr>
          <w:rFonts w:ascii="Palatino Linotype" w:hAnsi="Palatino Linotype"/>
          <w:i/>
          <w:iCs/>
          <w:sz w:val="20"/>
          <w:szCs w:val="20"/>
        </w:rPr>
      </w:pPr>
      <w:r w:rsidRPr="00A552DE">
        <w:rPr>
          <w:rFonts w:ascii="Palatino Linotype" w:hAnsi="Palatino Linotype"/>
          <w:i/>
          <w:sz w:val="20"/>
          <w:szCs w:val="20"/>
        </w:rPr>
        <w:t>9</w:t>
      </w:r>
      <w:r w:rsidR="003610D5" w:rsidRPr="00A552DE">
        <w:rPr>
          <w:rFonts w:ascii="Palatino Linotype" w:hAnsi="Palatino Linotype"/>
          <w:i/>
          <w:sz w:val="20"/>
          <w:szCs w:val="20"/>
        </w:rPr>
        <w:t xml:space="preserve">.1. </w:t>
      </w:r>
      <w:r w:rsidR="003610D5" w:rsidRPr="00A552DE">
        <w:rPr>
          <w:rFonts w:ascii="Palatino Linotype" w:hAnsi="Palatino Linotype"/>
          <w:i/>
          <w:iCs/>
          <w:sz w:val="20"/>
          <w:szCs w:val="20"/>
        </w:rPr>
        <w:t>En relación con la desagregación de los componentes financieros implícitos, el criterio general contenido en la RT N° 17 “Normas Contables Profesionales: Desarrollo de Cuestiones de Aplicación General” exige su desagregación; en cambio, la RT N° 41 “</w:t>
      </w:r>
      <w:r w:rsidR="003610D5" w:rsidRPr="00A552DE">
        <w:rPr>
          <w:rFonts w:ascii="Palatino Linotype" w:hAnsi="Palatino Linotype"/>
          <w:bCs/>
          <w:i/>
          <w:sz w:val="20"/>
          <w:szCs w:val="20"/>
        </w:rPr>
        <w:t>Normas Contables Profesionales. Desarrollo de cuestiones de aplicación general: Aspectos de reconocimiento y medición para Entes Pequeños y Entes Medianos”, de aplicación</w:t>
      </w:r>
      <w:r w:rsidR="003610D5" w:rsidRPr="00A552DE">
        <w:rPr>
          <w:rFonts w:ascii="Palatino Linotype" w:hAnsi="Palatino Linotype"/>
          <w:i/>
          <w:iCs/>
          <w:sz w:val="20"/>
          <w:szCs w:val="20"/>
        </w:rPr>
        <w:t xml:space="preserve"> para los Entes Pequeños (RT 41, 2da. Parte) y para los Entes Medianos (RT 41, 3ra. Parte), requiere tal desagregación solo para estos últimos entes en las operaciones de plazo igual o mayor al año. La RT N° 6 es compatible con las RT N° 17 y RT N° 41 y no modifica los criterios de medición establecidos en dichas RT en lo que respecta a la desagregación de los componentes financieros implícitos.</w:t>
      </w:r>
    </w:p>
    <w:p w:rsidR="003610D5" w:rsidRPr="00A552DE" w:rsidRDefault="003610D5" w:rsidP="003610D5">
      <w:pPr>
        <w:rPr>
          <w:rFonts w:ascii="Palatino Linotype" w:hAnsi="Palatino Linotype"/>
          <w:sz w:val="20"/>
          <w:szCs w:val="20"/>
        </w:rPr>
      </w:pPr>
    </w:p>
    <w:p w:rsidR="003610D5" w:rsidRPr="00A552DE" w:rsidRDefault="003610D5" w:rsidP="003610D5">
      <w:pPr>
        <w:spacing w:after="0" w:line="240" w:lineRule="auto"/>
        <w:rPr>
          <w:rFonts w:ascii="Palatino Linotype" w:hAnsi="Palatino Linotype"/>
          <w:i/>
          <w:sz w:val="20"/>
          <w:szCs w:val="20"/>
        </w:rPr>
      </w:pPr>
    </w:p>
    <w:sectPr w:rsidR="003610D5" w:rsidRPr="00A552DE" w:rsidSect="00A552DE">
      <w:pgSz w:w="11906" w:h="16838"/>
      <w:pgMar w:top="2694" w:right="1701" w:bottom="269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0BC" w:rsidRDefault="00D620BC" w:rsidP="00C76F79">
      <w:pPr>
        <w:spacing w:after="0" w:line="240" w:lineRule="auto"/>
      </w:pPr>
      <w:r>
        <w:separator/>
      </w:r>
    </w:p>
  </w:endnote>
  <w:endnote w:type="continuationSeparator" w:id="0">
    <w:p w:rsidR="00D620BC" w:rsidRDefault="00D620BC" w:rsidP="00C76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0BC" w:rsidRDefault="00D620BC" w:rsidP="00C76F79">
      <w:pPr>
        <w:spacing w:after="0" w:line="240" w:lineRule="auto"/>
      </w:pPr>
      <w:r>
        <w:separator/>
      </w:r>
    </w:p>
  </w:footnote>
  <w:footnote w:type="continuationSeparator" w:id="0">
    <w:p w:rsidR="00D620BC" w:rsidRDefault="00D620BC" w:rsidP="00C76F79">
      <w:pPr>
        <w:spacing w:after="0" w:line="240" w:lineRule="auto"/>
      </w:pPr>
      <w:r>
        <w:continuationSeparator/>
      </w:r>
    </w:p>
  </w:footnote>
  <w:footnote w:id="1">
    <w:p w:rsidR="00D620BC" w:rsidRPr="00B76292" w:rsidRDefault="00D620BC" w:rsidP="000F75C6">
      <w:pPr>
        <w:pStyle w:val="Piedepgina"/>
        <w:jc w:val="both"/>
        <w:rPr>
          <w:sz w:val="24"/>
          <w:szCs w:val="24"/>
        </w:rPr>
      </w:pPr>
      <w:r>
        <w:rPr>
          <w:rStyle w:val="Refdenotaalpie"/>
        </w:rPr>
        <w:footnoteRef/>
      </w:r>
      <w:r>
        <w:t xml:space="preserve"> </w:t>
      </w:r>
      <w:r w:rsidRPr="00B76292">
        <w:rPr>
          <w:sz w:val="18"/>
          <w:szCs w:val="18"/>
        </w:rPr>
        <w:t>Es</w:t>
      </w:r>
      <w:r>
        <w:rPr>
          <w:sz w:val="18"/>
          <w:szCs w:val="18"/>
        </w:rPr>
        <w:t>ta opción se refiere a que todos los entes que apliquen la RT N° 6 pueden no presentar la conciliación entre el impuesto a las ganancias incluido en el estado de resultados y el impuesto a las ganancias “teórico”, que es el resultante de multiplicar el resultado antes del impuesto por la tasa de impuesto a las ganancias vigente.</w:t>
      </w:r>
    </w:p>
    <w:p w:rsidR="00D620BC" w:rsidRDefault="00D620BC" w:rsidP="000F75C6"/>
    <w:p w:rsidR="00D620BC" w:rsidRDefault="00D620BC">
      <w:pPr>
        <w:pStyle w:val="Textonotapie"/>
      </w:pPr>
    </w:p>
  </w:footnote>
  <w:footnote w:id="2">
    <w:p w:rsidR="00D620BC" w:rsidRDefault="00D620BC">
      <w:pPr>
        <w:pStyle w:val="Textonotapie"/>
      </w:pPr>
      <w:r>
        <w:rPr>
          <w:rStyle w:val="Refdenotaalpie"/>
        </w:rPr>
        <w:footnoteRef/>
      </w:r>
      <w:r>
        <w:t xml:space="preserve"> Esto implica que no podrán aplicar esta opción los entes que por obligación o por opción utilizan la RT 17 y adicionalmente aplican la RT 11 </w:t>
      </w:r>
      <w:proofErr w:type="gramStart"/>
      <w:r>
        <w:t>( por</w:t>
      </w:r>
      <w:proofErr w:type="gramEnd"/>
      <w:r>
        <w:t xml:space="preserve"> tratarse de entes sin fines de lucro) o la RT 24 ( por tratarse de entes cooperativos).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6C90"/>
    <w:multiLevelType w:val="hybridMultilevel"/>
    <w:tmpl w:val="6B4CAF2C"/>
    <w:lvl w:ilvl="0" w:tplc="36C6A892">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C3E2A5F"/>
    <w:multiLevelType w:val="hybridMultilevel"/>
    <w:tmpl w:val="491037FE"/>
    <w:lvl w:ilvl="0" w:tplc="1E46D5D8">
      <w:start w:val="5"/>
      <w:numFmt w:val="bullet"/>
      <w:lvlText w:val="-"/>
      <w:lvlJc w:val="left"/>
      <w:pPr>
        <w:ind w:left="720" w:hanging="360"/>
      </w:pPr>
      <w:rPr>
        <w:rFonts w:ascii="Palatino Linotype" w:eastAsiaTheme="minorHAnsi" w:hAnsi="Palatino Linotype"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7EE0658"/>
    <w:multiLevelType w:val="hybridMultilevel"/>
    <w:tmpl w:val="4B8A867A"/>
    <w:lvl w:ilvl="0" w:tplc="8C4E0A74">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2A35683D"/>
    <w:multiLevelType w:val="hybridMultilevel"/>
    <w:tmpl w:val="33E07F2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E1A1AA5"/>
    <w:multiLevelType w:val="multilevel"/>
    <w:tmpl w:val="C89201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E4F113E"/>
    <w:multiLevelType w:val="hybridMultilevel"/>
    <w:tmpl w:val="A09E48E6"/>
    <w:lvl w:ilvl="0" w:tplc="959E589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4C941DC2"/>
    <w:multiLevelType w:val="hybridMultilevel"/>
    <w:tmpl w:val="E1D069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E3D3805"/>
    <w:multiLevelType w:val="hybridMultilevel"/>
    <w:tmpl w:val="A6906806"/>
    <w:lvl w:ilvl="0" w:tplc="080645D6">
      <w:numFmt w:val="bullet"/>
      <w:lvlText w:val="-"/>
      <w:lvlJc w:val="left"/>
      <w:pPr>
        <w:ind w:left="720" w:hanging="360"/>
      </w:pPr>
      <w:rPr>
        <w:rFonts w:ascii="Palatino Linotype" w:eastAsiaTheme="minorHAnsi" w:hAnsi="Palatino Linotype"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F900122"/>
    <w:multiLevelType w:val="hybridMultilevel"/>
    <w:tmpl w:val="7778C136"/>
    <w:lvl w:ilvl="0" w:tplc="C5A4B0FE">
      <w:start w:val="1"/>
      <w:numFmt w:val="decimal"/>
      <w:lvlText w:val="%1-"/>
      <w:lvlJc w:val="left"/>
      <w:pPr>
        <w:ind w:left="1494" w:hanging="360"/>
      </w:pPr>
      <w:rPr>
        <w:rFonts w:hint="default"/>
        <w:b w:val="0"/>
      </w:rPr>
    </w:lvl>
    <w:lvl w:ilvl="1" w:tplc="2C0A0019" w:tentative="1">
      <w:start w:val="1"/>
      <w:numFmt w:val="lowerLetter"/>
      <w:lvlText w:val="%2."/>
      <w:lvlJc w:val="left"/>
      <w:pPr>
        <w:ind w:left="2214" w:hanging="360"/>
      </w:pPr>
    </w:lvl>
    <w:lvl w:ilvl="2" w:tplc="2C0A001B" w:tentative="1">
      <w:start w:val="1"/>
      <w:numFmt w:val="lowerRoman"/>
      <w:lvlText w:val="%3."/>
      <w:lvlJc w:val="right"/>
      <w:pPr>
        <w:ind w:left="2934" w:hanging="180"/>
      </w:pPr>
    </w:lvl>
    <w:lvl w:ilvl="3" w:tplc="2C0A000F" w:tentative="1">
      <w:start w:val="1"/>
      <w:numFmt w:val="decimal"/>
      <w:lvlText w:val="%4."/>
      <w:lvlJc w:val="left"/>
      <w:pPr>
        <w:ind w:left="3654" w:hanging="360"/>
      </w:pPr>
    </w:lvl>
    <w:lvl w:ilvl="4" w:tplc="2C0A0019" w:tentative="1">
      <w:start w:val="1"/>
      <w:numFmt w:val="lowerLetter"/>
      <w:lvlText w:val="%5."/>
      <w:lvlJc w:val="left"/>
      <w:pPr>
        <w:ind w:left="4374" w:hanging="360"/>
      </w:pPr>
    </w:lvl>
    <w:lvl w:ilvl="5" w:tplc="2C0A001B" w:tentative="1">
      <w:start w:val="1"/>
      <w:numFmt w:val="lowerRoman"/>
      <w:lvlText w:val="%6."/>
      <w:lvlJc w:val="right"/>
      <w:pPr>
        <w:ind w:left="5094" w:hanging="180"/>
      </w:pPr>
    </w:lvl>
    <w:lvl w:ilvl="6" w:tplc="2C0A000F" w:tentative="1">
      <w:start w:val="1"/>
      <w:numFmt w:val="decimal"/>
      <w:lvlText w:val="%7."/>
      <w:lvlJc w:val="left"/>
      <w:pPr>
        <w:ind w:left="5814" w:hanging="360"/>
      </w:pPr>
    </w:lvl>
    <w:lvl w:ilvl="7" w:tplc="2C0A0019" w:tentative="1">
      <w:start w:val="1"/>
      <w:numFmt w:val="lowerLetter"/>
      <w:lvlText w:val="%8."/>
      <w:lvlJc w:val="left"/>
      <w:pPr>
        <w:ind w:left="6534" w:hanging="360"/>
      </w:pPr>
    </w:lvl>
    <w:lvl w:ilvl="8" w:tplc="2C0A001B" w:tentative="1">
      <w:start w:val="1"/>
      <w:numFmt w:val="lowerRoman"/>
      <w:lvlText w:val="%9."/>
      <w:lvlJc w:val="right"/>
      <w:pPr>
        <w:ind w:left="7254" w:hanging="180"/>
      </w:pPr>
    </w:lvl>
  </w:abstractNum>
  <w:abstractNum w:abstractNumId="9">
    <w:nsid w:val="59A13223"/>
    <w:multiLevelType w:val="hybridMultilevel"/>
    <w:tmpl w:val="3EC21A92"/>
    <w:lvl w:ilvl="0" w:tplc="7786C34E">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0">
    <w:nsid w:val="5A4A132C"/>
    <w:multiLevelType w:val="hybridMultilevel"/>
    <w:tmpl w:val="6CCEA5E2"/>
    <w:lvl w:ilvl="0" w:tplc="171AABC6">
      <w:start w:val="1"/>
      <w:numFmt w:val="lowerLetter"/>
      <w:lvlText w:val="%1)"/>
      <w:lvlJc w:val="left"/>
      <w:pPr>
        <w:ind w:left="1429" w:hanging="360"/>
      </w:pPr>
      <w:rPr>
        <w:rFonts w:hint="default"/>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1">
    <w:nsid w:val="5F6F60AD"/>
    <w:multiLevelType w:val="multilevel"/>
    <w:tmpl w:val="2C0E7402"/>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8A5479F"/>
    <w:multiLevelType w:val="multilevel"/>
    <w:tmpl w:val="D38429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D350AA"/>
    <w:multiLevelType w:val="multilevel"/>
    <w:tmpl w:val="8CD2CC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0C21A1"/>
    <w:multiLevelType w:val="hybridMultilevel"/>
    <w:tmpl w:val="BF2466B2"/>
    <w:lvl w:ilvl="0" w:tplc="775A5712">
      <w:start w:val="1"/>
      <w:numFmt w:val="upperLetter"/>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67D6CF3"/>
    <w:multiLevelType w:val="multilevel"/>
    <w:tmpl w:val="018465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9"/>
  </w:num>
  <w:num w:numId="8">
    <w:abstractNumId w:val="0"/>
  </w:num>
  <w:num w:numId="9">
    <w:abstractNumId w:val="2"/>
  </w:num>
  <w:num w:numId="10">
    <w:abstractNumId w:val="1"/>
  </w:num>
  <w:num w:numId="11">
    <w:abstractNumId w:val="11"/>
  </w:num>
  <w:num w:numId="12">
    <w:abstractNumId w:val="13"/>
  </w:num>
  <w:num w:numId="13">
    <w:abstractNumId w:val="15"/>
  </w:num>
  <w:num w:numId="14">
    <w:abstractNumId w:val="12"/>
  </w:num>
  <w:num w:numId="15">
    <w:abstractNumId w:val="1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qGM92/GTVEqzOhandFgv0ZCUWQo=" w:salt="5+bkYOtCrLgd/J6wSf4VRg=="/>
  <w:zoom w:percent="140"/>
  <w:proofState w:spelling="clean" w:grammar="clean"/>
  <w:defaultTabStop w:val="113"/>
  <w:hyphenationZone w:val="425"/>
  <w:characterSpacingControl w:val="doNotCompress"/>
  <w:footnotePr>
    <w:footnote w:id="-1"/>
    <w:footnote w:id="0"/>
  </w:footnotePr>
  <w:endnotePr>
    <w:endnote w:id="-1"/>
    <w:endnote w:id="0"/>
  </w:endnotePr>
  <w:compat/>
  <w:rsids>
    <w:rsidRoot w:val="00527D2D"/>
    <w:rsid w:val="000341D0"/>
    <w:rsid w:val="00044D3D"/>
    <w:rsid w:val="000466BB"/>
    <w:rsid w:val="00092790"/>
    <w:rsid w:val="000D4614"/>
    <w:rsid w:val="000E4BB1"/>
    <w:rsid w:val="000F75C6"/>
    <w:rsid w:val="00136011"/>
    <w:rsid w:val="001447CD"/>
    <w:rsid w:val="00150B80"/>
    <w:rsid w:val="001610F2"/>
    <w:rsid w:val="00161D8D"/>
    <w:rsid w:val="00163335"/>
    <w:rsid w:val="00175ED6"/>
    <w:rsid w:val="00197DC4"/>
    <w:rsid w:val="001D1149"/>
    <w:rsid w:val="001E34A6"/>
    <w:rsid w:val="001F7F3A"/>
    <w:rsid w:val="00201CFC"/>
    <w:rsid w:val="002327EC"/>
    <w:rsid w:val="00265ADF"/>
    <w:rsid w:val="00287A3D"/>
    <w:rsid w:val="0029603A"/>
    <w:rsid w:val="00297AA7"/>
    <w:rsid w:val="002B16D6"/>
    <w:rsid w:val="002B59C3"/>
    <w:rsid w:val="002C053A"/>
    <w:rsid w:val="002E37A1"/>
    <w:rsid w:val="002F6AA0"/>
    <w:rsid w:val="00315F78"/>
    <w:rsid w:val="0034129F"/>
    <w:rsid w:val="00352C1D"/>
    <w:rsid w:val="00360234"/>
    <w:rsid w:val="003610D5"/>
    <w:rsid w:val="00363FC9"/>
    <w:rsid w:val="003728AE"/>
    <w:rsid w:val="003F6C1A"/>
    <w:rsid w:val="0040494F"/>
    <w:rsid w:val="004708B7"/>
    <w:rsid w:val="00487EFE"/>
    <w:rsid w:val="004C01E6"/>
    <w:rsid w:val="004D239C"/>
    <w:rsid w:val="004F6B9A"/>
    <w:rsid w:val="00506B18"/>
    <w:rsid w:val="0051443E"/>
    <w:rsid w:val="0052447E"/>
    <w:rsid w:val="00527D2D"/>
    <w:rsid w:val="005329B8"/>
    <w:rsid w:val="00553159"/>
    <w:rsid w:val="00555FB2"/>
    <w:rsid w:val="0055629C"/>
    <w:rsid w:val="00565844"/>
    <w:rsid w:val="005A2B4A"/>
    <w:rsid w:val="00640D99"/>
    <w:rsid w:val="006C0FB7"/>
    <w:rsid w:val="006C2E71"/>
    <w:rsid w:val="006D38AA"/>
    <w:rsid w:val="006F12CD"/>
    <w:rsid w:val="007038D7"/>
    <w:rsid w:val="00754E52"/>
    <w:rsid w:val="007646A3"/>
    <w:rsid w:val="007B1F4D"/>
    <w:rsid w:val="007B34BC"/>
    <w:rsid w:val="00870EC6"/>
    <w:rsid w:val="00887933"/>
    <w:rsid w:val="00891605"/>
    <w:rsid w:val="00894CBF"/>
    <w:rsid w:val="008F2775"/>
    <w:rsid w:val="00902AE9"/>
    <w:rsid w:val="00911788"/>
    <w:rsid w:val="00914269"/>
    <w:rsid w:val="00923624"/>
    <w:rsid w:val="0093306D"/>
    <w:rsid w:val="00936060"/>
    <w:rsid w:val="00942D1C"/>
    <w:rsid w:val="00954CFB"/>
    <w:rsid w:val="009630F1"/>
    <w:rsid w:val="009722F0"/>
    <w:rsid w:val="0098090F"/>
    <w:rsid w:val="00A141FD"/>
    <w:rsid w:val="00A527E0"/>
    <w:rsid w:val="00A552DE"/>
    <w:rsid w:val="00A76E9C"/>
    <w:rsid w:val="00A9526C"/>
    <w:rsid w:val="00A97F4B"/>
    <w:rsid w:val="00AD0A83"/>
    <w:rsid w:val="00B0080D"/>
    <w:rsid w:val="00B01872"/>
    <w:rsid w:val="00B354A5"/>
    <w:rsid w:val="00B57B52"/>
    <w:rsid w:val="00B60B3E"/>
    <w:rsid w:val="00B61531"/>
    <w:rsid w:val="00B76292"/>
    <w:rsid w:val="00B84C7E"/>
    <w:rsid w:val="00BB128E"/>
    <w:rsid w:val="00C00CE6"/>
    <w:rsid w:val="00C219E7"/>
    <w:rsid w:val="00C56E94"/>
    <w:rsid w:val="00C70C98"/>
    <w:rsid w:val="00C76F79"/>
    <w:rsid w:val="00CA5B69"/>
    <w:rsid w:val="00CE0A6E"/>
    <w:rsid w:val="00D20C29"/>
    <w:rsid w:val="00D21F30"/>
    <w:rsid w:val="00D2607B"/>
    <w:rsid w:val="00D45693"/>
    <w:rsid w:val="00D5281C"/>
    <w:rsid w:val="00D620BC"/>
    <w:rsid w:val="00D74F99"/>
    <w:rsid w:val="00D9264F"/>
    <w:rsid w:val="00DB492E"/>
    <w:rsid w:val="00DC76A9"/>
    <w:rsid w:val="00DD6B77"/>
    <w:rsid w:val="00DF3E96"/>
    <w:rsid w:val="00E12564"/>
    <w:rsid w:val="00E21F33"/>
    <w:rsid w:val="00EA19E3"/>
    <w:rsid w:val="00EB7524"/>
    <w:rsid w:val="00EC3256"/>
    <w:rsid w:val="00EE3DFF"/>
    <w:rsid w:val="00EE4491"/>
    <w:rsid w:val="00F17E4E"/>
    <w:rsid w:val="00F201E5"/>
    <w:rsid w:val="00F5553F"/>
    <w:rsid w:val="00F7693F"/>
    <w:rsid w:val="00F81A15"/>
    <w:rsid w:val="00F90B4C"/>
    <w:rsid w:val="00FC67B3"/>
    <w:rsid w:val="00FE2A2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E4E"/>
    <w:pPr>
      <w:ind w:left="720"/>
      <w:contextualSpacing/>
    </w:pPr>
  </w:style>
  <w:style w:type="paragraph" w:styleId="Encabezado">
    <w:name w:val="header"/>
    <w:basedOn w:val="Normal"/>
    <w:link w:val="EncabezadoCar"/>
    <w:uiPriority w:val="99"/>
    <w:semiHidden/>
    <w:unhideWhenUsed/>
    <w:rsid w:val="00C76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76F79"/>
  </w:style>
  <w:style w:type="paragraph" w:styleId="Piedepgina">
    <w:name w:val="footer"/>
    <w:basedOn w:val="Normal"/>
    <w:link w:val="PiedepginaCar"/>
    <w:uiPriority w:val="99"/>
    <w:semiHidden/>
    <w:unhideWhenUsed/>
    <w:rsid w:val="00C76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76F79"/>
  </w:style>
  <w:style w:type="paragraph" w:styleId="Textonotapie">
    <w:name w:val="footnote text"/>
    <w:basedOn w:val="Normal"/>
    <w:link w:val="TextonotapieCar"/>
    <w:uiPriority w:val="99"/>
    <w:semiHidden/>
    <w:unhideWhenUsed/>
    <w:rsid w:val="000F75C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75C6"/>
    <w:rPr>
      <w:sz w:val="20"/>
      <w:szCs w:val="20"/>
    </w:rPr>
  </w:style>
  <w:style w:type="character" w:styleId="Refdenotaalpie">
    <w:name w:val="footnote reference"/>
    <w:basedOn w:val="Fuentedeprrafopredeter"/>
    <w:uiPriority w:val="99"/>
    <w:semiHidden/>
    <w:unhideWhenUsed/>
    <w:rsid w:val="000F75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978A8-B9C7-41FA-9941-BE0B1C4F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3340</Words>
  <Characters>18376</Characters>
  <Application>Microsoft Office Word</Application>
  <DocSecurity>4</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2019-07-22T15:40:00Z</cp:lastPrinted>
  <dcterms:created xsi:type="dcterms:W3CDTF">2019-07-22T16:01:00Z</dcterms:created>
  <dcterms:modified xsi:type="dcterms:W3CDTF">2019-07-22T16:01:00Z</dcterms:modified>
</cp:coreProperties>
</file>